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D-1956/2024 vom 12. Dezember 2025</w:t>
      </w:r>
    </w:p>
    <w:p>
      <w:r>
        <w:t>Bundesverwaltungsgericht, 2025-12-12, DE</w:t>
      </w:r>
    </w:p>
    <w:p>
      <w:r>
        <w:rPr>
          <w:b/>
        </w:rPr>
        <w:t xml:space="preserve">Quelle: </w:t>
      </w:r>
      <w:r>
        <w:t>https://mcp.opencaselaw.ch/entscheid/bvger_D-1956_2024</w:t>
      </w:r>
    </w:p>
    <w:p>
      <w:r>
        <w:t>FR: TAF D-1956/2024 du 12 décembre 2025</w:t>
      </w:r>
    </w:p>
    <w:p>
      <w:r>
        <w:t>IT: TAF D-1956/2024 del 12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w:t>
      </w:r>
    </w:p>
    <w:p>
      <w:r>
        <w:t>D-1956/2024 Seite 4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Nach Lehre und Praxis setzt die Anerkennung der Flüchtlingseigen- schaft im Sinne von Art. 3 AsylG voraus, dass die asylsuchende Person ernsthafte Nachteile von bestimmter Intensität erlitten hat beziehungs- weise solche im Fall einer Rückkehr in den Heimat- oder Herkunftsstaat mit beachtlicher Wahrscheinlichkeit und in absehbarer Zukunft befürchten muss. Die Nachteile müssen gezielt und aufgrund bestimmter Verfolgungs- motive drohen oder zugefügt worden sein. Die betroffene Person muss zu- dem einer landesweiten Verfolgung ausgesetzt sein. Ausgangspunkt für die Beurteilung der Flüchtlingseigenschaft ist die Frage, ob im Zeitpunkt der Ausreise eine Verfolgung oder eine begründete Furcht vor einer sol- chen bestand. Die Verfolgungsfurcht muss im Zeitpunkt des Asylent- scheids noch aktuell sein (vgl. dazu BVGE 2013/11 E. 5.1; BVGE 2010/57 E. 2 und 2008/12 E. 5 je m.w.H.).</w:t>
      </w:r>
    </w:p>
    <w:p>
      <w:r>
        <w:rPr>
          <w:b/>
        </w:rPr>
        <w:t>E. 3.3</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w:t>
      </w:r>
    </w:p>
    <w:p>
      <w:r>
        <w:t>D-1956/2024 Seite 5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Die erlit- tene Verfolgung oder die begründete Furcht vor zukünftiger Verfolgung muss zudem sachlich und zeitlich kausal für die Ausreise aus dem Heimat- oder Herkunftsstaat und grundsätzlich auch im Zeitpunkt des Asylentschei- des noch aktuell sein (vgl. BVGE 2008/12 E. 5 S. 154 f. und E. 7 S. 168 ff.; Entscheidungen und Mitteilungen der Schweizerischen Asylrekurskommis- sion [EMARK] 2005 Nr. 21 E. 7 S. 193 f. und dort zitierte Urteile).</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ihres Asylgesuchs machte die Beschwerdeführerin im Wesentlichen geltend, dass sie seit ihrer Kindheit Verfolgung gegenüber ihrer ganzen Familie miterlebt habe. Auch ihr Dorf sei niedergebrannt und Bewohner und Familienangehörige seien vor ihren Augen gefoltert und ge- tötet worden. Sie sei im Jahre 1993 noch als Minderjährige gefoltert, ver- haftet und im Anschluss zu über 16 Jahren Haft verurteilt worden. Während der Haftzeit sei sie regelmässig Übergriffen und Misshandlungen ausge- setzt gewesen. Nach der Haftentlassung im Jahr 2006 sei sie sodann im- mer wieder vom türkischen Geheimdienst aufgesucht und in Gewahrsam genommen worden. Dieser habe sie zur Spionage bewegen wollen. Aus diesem Grund habe sie immer wieder ihren Wohnort gewechselt. Bis An- fang 2020 sei sie ein aktives Mitglied der HDP (Halkların Demokratik Par- tisi) gewesen und habe sich dabei für die Familien inhaftierter und ver- schwundener Menschen engagiert. Ihre politischen Aktivitäten habe sie aber aus gesundheitlichen Gründen einstellen müssen. Im Februar 2023 sei sie letztmals von Vertretern des Geheimdienstes aufgesucht worden, wobei ihr mit Übergriffen auf ihre Familie gedroht worden sei, sollte sie sich</w:t>
      </w:r>
    </w:p>
    <w:p>
      <w:r>
        <w:t>D-1956/2024 Seite 6 nicht bereit erklären, Spionagearbeiten auszuführen. Sie habe sich ge- zwungen gesehen, die Türkei zu verlassen. Zur Stützung ihrer Vorbringen reichte die Beschwerdeführerin eine Kopie ihrer Identitätskarte, das Urteil des Strafgerichts, Fotos aus dem Gefängnis sowie ärztliche Berichte betreffend ihre physische und psychische Gesund- heit, welche unter anderem eine komplexe posttraumatische Belastungs- störung belegen, zu den Akten.</w:t>
      </w:r>
    </w:p>
    <w:p>
      <w:r>
        <w:rPr>
          <w:b/>
        </w:rPr>
        <w:t>E. 4.2</w:t>
      </w:r>
    </w:p>
    <w:p>
      <w:r>
        <w:t>Die Vorinstanz führt in der Begründung ihrer Verfügung aus, dass seit der Haftentlassung der Beschwerdeführerin im Jahre 2006 keine weiteren Strafverfahren gegen sie eingeleitet worden seien. Unter Verweis auf die Rechtsprechung des Bundesverwaltungsgerichts weist sie weiter darauf hin, dass mehrstündige Festnahmen, auch wenn sie von gewissen Tätlich- keiten begleitet würden, in der Regel zu wenig intensiv seien, um als flücht- lingsrechtlich relevant zu gelten. Ferner führe die allgemeine Situation und Diskriminierung der kurdischen Bevölkerung in der Türkei nicht zur Aner- kennung der Flüchtlingseigenschaft. Sie hebt zudem hervor, dass die Be- schwerdeführerin seit ihrer Freilassung 17 Jahre in der Türkei habe leben können, ohne dabei intensiven Verfolgungsmassnahmen ausgesetzt zu werden. In Bezug auf ihre Tätigkeit für die HDP führt die Vorinstanz weiter aus, dass die Beschwerdeführerin gemäss ihren Aussagen nicht in exponierter Stel- lung für die HDP tätig gewesen sei, zudem seit 2020 nicht mehr politisch aktiv sei und somit über ein geringfügiges und flüchtlingsrechtlich nicht re- levantes politisches Profil verfüge. Die Vorinstanz betrachtet die Bedrohungslage der Beschwerdeführerin seit ihrer Inhaftierung als abgeschlossen und nicht mehr aktuell. Folglich habe die Beschwerdeführerin keine ernsthaften Nachteile im Sinne des Asylge- setzes zu befürchten und erfülle die Flüchtlingseigenschaft nicht, weshalb das Asylgesuch abzuweisen sei.</w:t>
      </w:r>
    </w:p>
    <w:p>
      <w:r>
        <w:rPr>
          <w:b/>
        </w:rPr>
        <w:t>E. 4.3</w:t>
      </w:r>
    </w:p>
    <w:p>
      <w:r>
        <w:t>In der Beschwerde wird entgegnet, dass die von der Beschwerdefüh- rerin erlittenen Nachteile in ihrer Gesamtheit zu würdigen seien. Sie blicke auf ein Kontinuum staatlicher Verfolgung zurück, das sich über Jahrzehnte erstreckt habe. So sei sie schon als Kind den Verfolgungen des türkischen Staates ausgesetzt worden, habe eine langjährige Haftstrafe verbüsst und sei seit ihrer Entlassung immer wieder mitgenommen und bedroht worden, um sie zur Spitzeltätigkeit zu bewegen. Sie habe ständig ihren Wohnort</w:t>
      </w:r>
    </w:p>
    <w:p>
      <w:r>
        <w:t>D-1956/2024 Seite 7 wechseln müssen und habe teils gar unter einer falschen Identität gelebt. Schliesslich sei sie vor die Wahl gestellt worden, ihre kurdischen Genossen auszuspionieren oder die Verfolgung ihrer Familie zu riskieren. In der Ge- samtheit hätten all diese Vorfälle infolge der langen Dauer und ständigen Wiederkehr bei der Beschwerdeführerin einen unerträglichen psychischen Druck bewirkt, wodurch sie ernsthafte Nachteile im Sinne von Art. 3 AsylG erlitten habe, weshalb sie als Flüchtling anzuerkennen und ihr Asyl zu ge- währen sei.</w:t>
      </w:r>
    </w:p>
    <w:p>
      <w:r>
        <w:rPr>
          <w:b/>
        </w:rPr>
        <w:t>E. 4.4</w:t>
      </w:r>
    </w:p>
    <w:p>
      <w:r>
        <w:t>Im Rahmen ihrer Vernehmlassung führt die Vorinstanz insbesondere aus, dass es sich bei einem unerträglichen psychischen Druck im Sinne des Asylgesetzes um eine systematische Beeinträchtigung der persönli- chen Freiheit und körperlichen Unversehrtheit handeln müsse, welche in einer objektiven Sichtweise einen Verbleib im Heimatstaat als unzumutbar erscheinen lasse. Im vorliegenden Fall sei, angesichts der PKK-Vergan- genheit der Beschwerdeführerin nachvollziehbar, dass die türkischen Be- hörden sie im Auge behalten würden. Die in den Arztberichten dargelegte posttraumatische Störung sei in erster Linie auf die Misshandlungen in der Kindheit und Jugend der Beschwerdeführerin zurückzuführen und könnten nicht als Beweismittel für einen unerträglichen psychischen Druck dienen. Die Vorinstanz ist zudem der Auffassung, dass während die Beschwerde- führerin über das in den 1990er Jahren Erlebte sehr genau zu berichten gewusst habe, während sie die geltend gemachte Verfolgung seit der Haft- entlassung im Jahre 2006 eher allgemein geschildert habe. Daraus leitet die Vorinstanz ab, dass die späteren Verfolgungsmassnahmen wohl wäh- rend einer grösseren Zeitspanne und in grösseren Abständen erlebt wor- den seien, und deren Auswirkungen auf die Beschwerdeführerin den An- forderungen von Art. 3 Abs. 2 AsylG nicht genügen würden.</w:t>
      </w:r>
    </w:p>
    <w:p>
      <w:r>
        <w:rPr>
          <w:b/>
        </w:rPr>
        <w:t>E. 4.5</w:t>
      </w:r>
    </w:p>
    <w:p>
      <w:r>
        <w:t>In der Replik wird erwidert, dass bei der Beurteilung eines unerträgli- chen psychischen Drucks im Sinne des Asylgesetzes gemäss Rechtspre- chung des Bundesverwaltungsgerichts Ereignisse in ihrer Gesamtheit zu berücksichtigen seien und zeitlich auch lange zurückliegen könnten. Zu- dem wird die Feststellung der Vorinstanz, die Beschwerdeführerin habe über aktuellere Ereignisse weniger detailliert berichtet, verworfen, und gel- tend gemacht, auch ihre diesbezügliche Berichterstattung sei detailliert und anschaulich.</w:t>
      </w:r>
    </w:p>
    <w:p>
      <w:r>
        <w:rPr>
          <w:b/>
        </w:rPr>
        <w:t>E. 5.1</w:t>
      </w:r>
    </w:p>
    <w:p>
      <w:r>
        <w:t>Die Beschwerdeführerin begründet ihr Asylgesuch mit der Verfolgung durch den türkischen Geheimdienst aufgrund ihrer früheren Verurteilung</w:t>
      </w:r>
    </w:p>
    <w:p>
      <w:r>
        <w:t>D-1956/2024 Seite 8 und ihrer politischen Aktivitäten. Sie macht dabei geltend, dass die ihr wi- derfahrenen Nachteile als Verfolgung zu qualifizieren seien. Dies ist nach- folgend zu prüfen.</w:t>
      </w:r>
    </w:p>
    <w:p>
      <w:r>
        <w:rPr>
          <w:b/>
        </w:rPr>
        <w:t>E. 5.2</w:t>
      </w:r>
    </w:p>
    <w:p>
      <w:r>
        <w:t>Das Gericht stellt fest, dass die Beschwerdeführerin als Jugendliche aufgrund ihrer ethnischen Zugehörigkeit extremer Gewalt ausgesetzt war, was sich aktenkundig auch in ihrem Gesundheitszustand widerspiegelt. Die psychischen und physischen Leiden, die sie vor und während ihrer Haftstrafe erfahren hat, sind zweifellos als ernsthafte Nachteile im Sinne des Asylgesetzes zu qualifizieren. Das Asyl dient jedoch nicht als Wieder- gutmachung vergangenen Unrechts, sondern ist nur dann zu gewähren, wenn die Verfolgung weiterhin aktuell ist. Die Vorinstanz weist in diesem Sinne zurecht darauf hin, dass die Beschwerdeführerin im Jahr 2006 aus der Haft entlassen wurde, seither viele Jahre vergangen sind und sie nicht mehr strafrechtlich verfolgt wurde. Die Beschwerdeführerin gibt zwar an, sie sei seit ihrer Freilassung immer wieder vom türkischen Geheimdienst bedroht worden, letztmals im Februar 2023. Bei diesem Vorfall sei sie wie bereits früher aufgegriffen und es sei ihr damit gedroht worden, ihrer Familie etwas anzutun, sollte sie sich nicht bereit erklären, für den Geheimdienst Spionagearbeiten auszuführen. Die entsprechenden Schilderungen der Beschwerdeführerin weisen zwar ei- nige Details und Realkennzeichen auf. Dennoch entstehen Zweifel in Be- zug auf den Zeitpunkt des Überriffs, zumal sie erklärte, dass sie bereits im Jahre 2020, somit drei Jahre vor ihrer Ausreise, aus gesundheitlichen Gründen ihre politische Arbeit niedergelegt habe. Ohnehin ist aber festzu- stellen, dass die Beschwerdeführerin angeblich seit ihrer Entlassung aus der Haft im Jahr 2006 und damit während 17 Jahren immer wieder vom Geheimdienst zur Spionage aufgefordert worden sei, sie diesen Aufforde- rungen nie nachgekommen sei und ihr daraus offensichtlich keine Nach- teile entstanden sind. Vor diesem Hintergrund ist nicht nachvollziehbar, aus welchem Grund sich die Bedrohungslage der Beschwerdeführerin vor ihrer Ausreise im Jahr 2023 hätte zugespitzt haben sollen. Vielmehr ist davon auszugehen, dass sich die Exponiertheit ihres politischen Profils seit ihrer Haftentlassung im Jahre 2006 immer mehr und seit der Aufgabe ihrer poli- tischen Tätigkeiten im Jahre 2020 zusätzlich reduziert hat. Die Beschwer- deführerin hat nach ihrer Haftentlassung somit weder ernsthafte Nachteile im Sinne des Asylgesetzes erlebt, noch musste sie solche – selbst unter Berücksichtigung der in der Vergangenheit erlebten Verfolgung – objektiv befürchten. Die in ihrer Jugend erlittene Verfolgung war damit im Zeitpunkt der Ausreise nicht mehr aktuell.</w:t>
      </w:r>
    </w:p>
    <w:p>
      <w:r>
        <w:t>D-1956/2024 Seite 9 Die wiederholten Besuche und das gelegentliche Aufgreifen der Beschwer- deführerin durch den Geheimdienst vermögen entgegen der in der Be- schwerde vertretenen Auffassung auch keinen unerträglichen psychischen Druck zu begründen. Unter dem Begriff des unerträglichen psychischen Drucks werden staatliche Massnahmen erfasst, die sich nicht unmittelbar gegen die Rechtsgüter Leib, Leben oder Freiheit richten, sondern auf an- dere Weise ein menschenwürdiges Leben verunmöglichen. Die Eingriffe müssen dabei als derart systematisch und intensiv erscheinen, dass der betroffenen Person ein weiterer Verbleib in ihrem Heimatstaat objektiv nicht mehr zugemutet werden kann. Von einer solchen Situation ist vorliegend nicht auszugehen, zumal die behördlichen Interventionen in den vergange- nen 17 Jahren vor der Ausreise nicht als derart intensiv erscheinen, als dass sie einen Verbleib im Heimatstaat unzumutbar erscheinen liessen. In diesem Zusammenhang ist mit der Vorinstanz einig zu gehen, dass die Be- schwerdeführerin bezüglich der Häufigkeit der Nachstellungen äusserst vage geblieben ist.</w:t>
      </w:r>
    </w:p>
    <w:p>
      <w:r>
        <w:rPr>
          <w:b/>
        </w:rPr>
        <w:t>E. 5.3</w:t>
      </w:r>
    </w:p>
    <w:p>
      <w:r>
        <w:t>Zusammenfassend ist festzuhalten, dass die Beschwerdeführerin zwar in der Vergangenheit Verfolgung erlebt hat, diese im Zeitpunkt der Ausreise jedoch viele Jahre zurücklag und abgeschlossen war. Die von ihr seither durch den türkischen Geheimdienst erlittenen Nachteile erreichen keine In- tensität, welche die Flüchtlingseigenschaft zu begründen vermag. Das ak- tuelle Profil der Beschwerdeführerin ist als niederschwellig einzustufen, weshalb keine begründete Furcht vorliegt, bei Rückkehr in die Türkei ernst- haften Nachteilen im Sinne des Asylgesetzes ausgesetzt zu werden. Die geltend gemachten Vorbringen sind folglich nicht geeignet, eine dro- hende asyl- respektive flüchtlingsrechtliche Verfolgung beziehungsweise eine entsprechende Verfolgungsfurcht zu begründen. Die Ausführungen der Beschwerde vermögen diese Einschätzung nicht zu erschüttern. Die Vorinstanz hat demnach zurecht die Flüchtlingseigenschaft der Beschwer- deführerin verneint und deren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w:t>
      </w:r>
    </w:p>
    <w:p>
      <w:r>
        <w:t>D-1956/2024 Seite 10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weist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w:t>
      </w:r>
    </w:p>
    <w:p>
      <w:r>
        <w:t>D-1956/2024 Seite 11 den Heimatstaat ist demnach unter dem Aspekt von Art. 5 AsylG rechtmäs- sig.</w:t>
      </w:r>
    </w:p>
    <w:p>
      <w:r>
        <w:rPr>
          <w:b/>
        </w:rPr>
        <w:t>E. 7.2.5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Nach konstanter Praxis des Bundesverwaltungsgerichts ist selbst un- ter Berücksichtigung der Entwicklungen im Nachgang des Putschversuchs im Juli 2016 nicht davon auszugehen, dass in der Türkei eine landesweite Situation allgemeiner Gewalt herrscht. Auch in den vorwiegend von Kurden besiedelten Provinzen im Osten und Südosten des Landes ist nicht von einer flächendeckenden Situation allgemeiner Gewalt oder bürgerkriegs- ähnlichen Verhältnissen auszugehen (vgl. das Referenzurteil des BVGer E-4103/2024 vom 8. November 2024 E. 13 m.w.H).</w:t>
      </w:r>
    </w:p>
    <w:p>
      <w:r>
        <w:rPr>
          <w:b/>
        </w:rPr>
        <w:t>E. 7.3.3</w:t>
      </w:r>
    </w:p>
    <w:p>
      <w:r>
        <w:t>Gemäss dem Referenzurteil des Bundesverwaltungsgerichts ist der Vollzug der Wegweisung in eine der elf von den Erdbeben im Jahre 2023 betroffenen Provinzen nicht generell unzumutbar und die Beurteilung der</w:t>
      </w:r>
    </w:p>
    <w:p>
      <w:r>
        <w:t>D-1956/2024 Seite 12 Zumutbarkeit des Wegweisungsvollzugs im Rahmen einer einzelfallweisen Prüfung der individuellen Lebenssituation der Betroffenen vorzunehmen, wobei insbesondere der Situation vulnerabler Personen gebührend Rech- nung zu tragen ist (vgl. Referenzurteil E-1308/2023 vom 19. März 2024 E. 11.3). Vorliegend ist festzuhalten, dass die Beschwerdeführerin aus der Provinz C. _______ und somit nicht aus einem von den Erdbeben betroffe- nen Gebieten stammt.</w:t>
      </w:r>
    </w:p>
    <w:p>
      <w:r>
        <w:rPr>
          <w:b/>
        </w:rPr>
        <w:t>E. 7.3.4</w:t>
      </w:r>
    </w:p>
    <w:p>
      <w:r>
        <w:t>Die Beschwerdeführerin ist ferner gemäss den vorliegenden ärztli- chen Berichten in ihrer psychischen und physischen Gesundheit beein- trächtigt (Arthrose am Knie und eine komplexe posttraumatische Belas- tungsstörung), jedoch nicht in einem Ausmass, welches eine medizinische Notlage zu begründen vermag. So verfügt die Türkei grundsätzlich über ein hinreichendes Gesundheitssystem und es liegen keine Hinweise darauf vor, dass der Beschwerdeführerin eine adäquate Behandlung verweigert würde (vgl. zuletzt etwa das Urteil des BVGer E-4907/2023 vom 22. Sep- tember 2025 E. 8.3.2).</w:t>
      </w:r>
    </w:p>
    <w:p>
      <w:r>
        <w:rPr>
          <w:b/>
        </w:rPr>
        <w:t>E. 7.3.5</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wären die Kosten der Beschwerdeführerin aufzuerlegen (Art. 63 Abs. 1 VwVG). Mit Zwischenver- fügung vom 8. April 2024 hiess die Instruktionsrichterin das Gesuch um Gewährung der unentgeltlichen Prozessführung gestützt auf Art. 65 Abs. 1</w:t>
      </w:r>
    </w:p>
    <w:p>
      <w:r>
        <w:t>D-1956/2024 Seite 13 VwVG zufolge Mittellosigkeit der Beschwerdeführerin gut. Von einer mass- geblichen Veränderung der finanziellen Verhältnisse ist nicht auszugehen, weshalb von der Erhebung von Verfahrenskosten abzusehen ist.</w:t>
      </w:r>
    </w:p>
    <w:p>
      <w:r>
        <w:rPr>
          <w:b/>
        </w:rPr>
        <w:t>E. 10.1</w:t>
      </w:r>
    </w:p>
    <w:p>
      <w:r>
        <w:t>Mit derselben Verfügung wurde das Gesuch um amtliche Verbeistän- dung gutgeheissen und der Beschwerdeführerin lic. iur. Sonja Nabholz als amtliche Rechtsbeiständin beigeordnet. Ihr ist ein amtliches Honorar für die notwendigen Aufwendungen im Beschwerdeverfahren auszurichten.</w:t>
      </w:r>
    </w:p>
    <w:p>
      <w:r>
        <w:rPr>
          <w:b/>
        </w:rPr>
        <w:t>E. 10.2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VGKE).</w:t>
      </w:r>
    </w:p>
    <w:p>
      <w:r>
        <w:rPr>
          <w:b/>
        </w:rPr>
        <w:t>E. 10.3</w:t>
      </w:r>
    </w:p>
    <w:p>
      <w:r>
        <w:t>Seitens der Rechtsvertretung wurde keine Kostennote zu den Akten gereicht, weshalb die notwendigen Parteikosten aufgrund der Akten zu be- stimmen sind (Art. 14 Abs. 2 in fine VGKE). Das amtliche Honorar ist in diesem Sinne auf Fr. 500.– festzusetzen. (Dispositiv nächste Seite)</w:t>
      </w:r>
    </w:p>
    <w:p>
      <w:r>
        <w:t>D-1956/2024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