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D-1951/2010 vom 10. Juni 2010</w:t>
      </w:r>
    </w:p>
    <w:p>
      <w:r>
        <w:t>Bundesverwaltungsgericht, 2010-06-10, DE</w:t>
      </w:r>
    </w:p>
    <w:p>
      <w:r>
        <w:rPr>
          <w:b/>
        </w:rPr>
        <w:t xml:space="preserve">Quelle: </w:t>
      </w:r>
      <w:r>
        <w:t>https://mcp.opencaselaw.ch/entscheid/bvger_D-1951_2010</w:t>
      </w:r>
    </w:p>
    <w:p>
      <w:r>
        <w:t>FR: TAF D-1951/2010 du 10 juin 2010</w:t>
      </w:r>
    </w:p>
    <w:p>
      <w:r>
        <w:t>IT: TAF D-1951/2010 del 10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Rechtsmitteleingabe vom 17. März 2010 sind nicht geeignet, eine Änderung der vorinstanzlichen Verfügung zu bewirken. Der Argumentation des BFM werden keine stichhaltigen und substanziierten Gründe entgegengesetzt. Eine diesbezügliche Auseinandersetzung unterbleibt zwar nicht grundsätzlich. Die Ausführungen des Beschwerdeführers vermögen jedoch die substanziiert vorgebrachten und einwandfrei nachvollziehbaren Erwägungen des BFM nicht umzustossen. Für das Bundesverwaltungsgericht besteht keine Veranlassung, nach Überprüfung der Akten die Erwägungen des BFM zu beanstanden. Um Wiederholungen zu vermeiden, kann daher auf die diesbezüglich zutreffenden Ausführungen in der angefochtenen Verfügung verwiesen werden. Ausserdem wurde bereits in der Zwischenverfügung vom 31. März 2010 ausführlich dargelegt und zusammenfassend festgehalten, dass die Erwägungen der Vorinstanz zu bestätigen und durch die Ausführungen in der Beschwerdeschrift nicht zu entkräften sein dürften. Nach dem Gesagten wurde der Beschwerdeführer zu Recht von der Asylgewährung ausgeschlossen und gestützt auf Art. 54 AsylG (subjektive Nachflucht) als Flüchtling in der Schweiz vorläufig aufgenommen.</w:t>
      </w:r>
    </w:p>
    <w:p>
      <w:r>
        <w:rPr>
          <w:b/>
        </w:rPr>
        <w:t>E. 5.2</w:t>
      </w:r>
    </w:p>
    <w:p>
      <w:r>
        <w:t>Aufgrund der vorstehenden Erwägungen erübrigt es sich, auf die weiteren Ausführungen in der Eingabe des Beschwerdeführers im Einzelnen einzugehen, da sie am Ergebnis der vorgenommenen Würdigung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6.3</w:t>
      </w:r>
    </w:p>
    <w:p>
      <w:r>
        <w:t>Zu prüfen bleibt in der Regel, ob es Gründe gibt, die dem Vollzug der Wegweisung entgegenstehen (vgl. Art. 44 AsyG und Art. 83 Abs. 1-4 AuG). Vorliegend hat jedoch das Bundesamt in der angefochtenen Verfügung die vorläufige Aufnahme des Beschwerdeführers in der Schweiz angeordnet, wodurch die Prüfung allfälliger Wegweisungshindernisse entfällt.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9. April 2010 geleisteten Kostenvorschuss in derselben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