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D-1951/2008 vom 16. März 2011</w:t>
      </w:r>
    </w:p>
    <w:p>
      <w:r>
        <w:t>Bundesverwaltungsgericht, 2011-03-16, FR</w:t>
      </w:r>
    </w:p>
    <w:p>
      <w:r>
        <w:rPr>
          <w:b/>
        </w:rPr>
        <w:t xml:space="preserve">Quelle: </w:t>
      </w:r>
      <w:r>
        <w:t>https://mcp.opencaselaw.ch/entscheid/bvger_D-1951_2008</w:t>
      </w:r>
    </w:p>
    <w:p>
      <w:r>
        <w:t>FR: TAF D-1951/2008 du 16 mars 2011</w:t>
      </w:r>
    </w:p>
    <w:p>
      <w:r>
        <w:t>IT: TAF D-1951/2008 del 16 marzo 2011</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Zürich/Basel/Genf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w:t>
      </w:r>
    </w:p>
    <w:p>
      <w:r>
        <w:t>Le recourant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w:t>
      </w:r>
    </w:p>
    <w:p>
      <w:r>
        <w:t>Préliminairement, sur le plan formel, le recourant a fait grief à l'ODM d'avoir violé l'obligation de motiver sa décision en matière d'exigibilité de l'exécution du renvoi, alors même que ce point, conformément à une jurisprudence de la Commission, devait faire l'objet d'un examen individualisé. Selon lui, l'office fédéral aurait d'autant plus dû procéder à un tel examen qu'il appartient à l'ethnie rom.</w:t>
      </w:r>
    </w:p>
    <w:p>
      <w:r>
        <w:rPr>
          <w:b/>
        </w:rPr>
        <w:t>E. 5.1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p. 37 s.).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Jurisprudence et informations de la Commission suisse de recours en matière d'asile [JICRA] 2006 no 4 consid. 5 p. 44 ss, JICRA 1995 no 12 consid. 12c p. 114 ss). Le droit d'obtenir une décision motivée est de nature formelle : sa violation entraîne en principe l'annulation de la décision attaquée, indépendamment de la question de savoir si cette violation a eu une influence sur l'issue de la cause (cf. JICRA 1995 no 12 consid. 12c p. 115). En dépit du caractère formel du droit d'être entendu, l'autorité de recours peut par exception,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En particulier, une telle irrégularité peut être considérée comme guérie lorsque le vice n'est pas grave,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 ATAF 2008/47 consid. 3.3.4 p. 676s., ATAF 2007/30 consid. 8.2 p. 371s., ATAF 2007/27 consid. 10.1 p. 332 ; Bernhard Waldmann/Jürg Bickel nos 114 ss ad art. 29 PA in: VwVG, Praxiskommentar zum Bundesgesetz über das Verwaltungsverfahren, Bernhard Waldmann/Philippe Weissenberger (éd.), Bâle/Genève 2009 Patrick Sutter, nos 18ss ad art. 29 PA in : Kommentar zum Bundesgesetz über das Verwaltungsverfahren (VwVG), Christoph Auer, Markus Müller, Benjamin Schindler (éd.), Zurich/St.Gall 2008.</w:t>
      </w:r>
    </w:p>
    <w:p>
      <w:r>
        <w:rPr>
          <w:b/>
        </w:rPr>
        <w:t>E. 5.2</w:t>
      </w:r>
    </w:p>
    <w:p>
      <w:r>
        <w:t>Dans la décision querellée, l'ODM a mentionné, sous l'angle de l'exigibilité de l'exécution du renvoi, que ni la situation politique régnant actuellement en Bosnie et Herzégovine, ni un quelconque autre motif ne s'opposaient au renvoi (recte : à l'exécution du renvoi). Il a en outre ajouté que l'état de santé de la soeur cadette de l'intéressé n'entrait pas en ligne de compte dans le cadre de l'appréciation du cas. Compte tenu des circonstances du cas d'espèce, il y a lieu d'admettre que cette motivation est effectivement sommaire, dans la mesure où l'examen auquel a procédé l'autorité de première instance n'est que très partiellement individualisé. Le grief de A._______ n'est dès lors pas dénué de tout fondement. La question de savoir si cette motivation sommaire constitue ou non une violation de l'obligation de motiver peut toutefois demeurer indécise. L'ODM a en effet complété de manière circonstanciée la motivation de la décision attaquée dans sa réponse au recours et l'intéressé a pu faire valoir utilement ses moyens sur tous les points essentiels de l'affaire, tant dans son recours que dans sa réplique. Dès lors que le Tribunal dispose de la même cognition que l'autorité inférieure, cette irrégularité, même en l'admettant, ne saurait conduire à une cassation de la décision attaquée, dans la mesure où celle-ci équivaudrait, dans ces conditions, à une simple formalité.</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6.3</w:t>
      </w:r>
    </w:p>
    <w:p>
      <w:r>
        <w:t>L'exécution n'est pas possible lorsque l'étranger ne peut pas quitter la Suisse pour son Etat d'origine, son Etat de provenance ou un Etat tiers, ni être renvoyé dans un de ces Etats (art. 83 al. 2 LEtr).</w:t>
      </w:r>
    </w:p>
    <w:p>
      <w:r>
        <w:rPr>
          <w:b/>
        </w:rPr>
        <w:t>E. 7.1</w:t>
      </w:r>
    </w:p>
    <w:p>
      <w:r>
        <w:t>Tout d'abord, A._______ n'ayant pas contesté les chiffres 1 et 2 de la décision attaquée relatifs à la qualité de réfugié et à l'asile, il y a lieu de constater qu'il ne saurait invoquer valablement le principe de non-refoulement ancré à l'art. 5 LAsi.</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(CourEDH [grande chambre], Saadi c. Italie, arrêt du 28 février 2008, recours n° 37201/06, § 124 à 127, et réf.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l'intéressé appartient à la minorité rom et qu'à ce titre, il fait valoir avoir été menacé et agressé par des tierces personnes. Il invoque également avoir vécu dans une insécurité permanente. Dans le cas présent, les éléments figurant au dossier ne sont cependant pas suffisants pour convaincre le Tribunal que les craintes manifestées par le recourant d'être l'objet de traitements contraires à l'art. 3 CEDH de la part de particuliers sont fondées ou que, le cas échéant, les autorités ne seraient pas en mesure de lui assurer une protection appropriée et ce, malgré son appartenance à une minorité ethnique. S'il est certes établi que la situation en Bosnie et Herzégovine ne s'améliore que lentement et que la population rom continue à y subir des discriminations (cf. The US Departement of State's Country Reports on Human Rights Practices for 2009 : Bosnia and Herzegovina, du 11 mars 2010), il n'en demeure pas moins que cet Etat déploie nombre d'efforts, afin de favoriser son adhésion à l'Union européenne (cf. Human Rights House Foundation NGO Report on the implementation of the International Convention on the Elimination of All Forms of Racial Discrimination, de juillet 2010, p. 10-12). Dans ce contexte, les autorités bosniaques se sont engagées à respecter diverses priorités (cf. notamment en adoptant une réforme du cadre constitutionnel ainsi que des forces de police, de l'accès à la justice, du système pénitentiaire ou encore en s'engageant à respecter les droits de l'homme et à protéger les minorités, y compris des Roms) à court et à moyen terme, soit dans un délai de un à quatre ans au maximum (cf. Décision 2008/211/CE du Conseil du 18 février 2008 relative aux principes, aux priorités et aux conditions figurant dans le partenariat européen avec la Bosnie et Herzégovine et abrogeant la décision 2006/55/CE). Aussi, même s'il faut reconnaître que le système sécuritaire et juridique de la Bosnie et Herzégovine est encore lacunaire, on ne saurait cependant conclure à l'absence de toute protection de la part des autorités aux membres de l'ethnie rom, au motif de leur appartenance ethnique. S'agissant plus particulièrement du cas d'espèce, force est de relever que les autorités bosniaques, en donnant suite à la plainte pénale déposée par la mère de A._______ après que sa soeur G._______ eut été ébouillantée par un voisin et en emprisonnant ce dernier, a manifestement démontré sa volonté d'offrir une protection effective à A._______ et sa famille. Au vu de ce qui précède, l'intéressé n'est pas parvenu à démontrer un risque concret et avéré d'être exposé lors de son retour dans son pays d'origine à des traitements contraires tant à l'art. 3 CEDH qu'à l'art. 3 Conv. torture.</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Tout d'abord, le Tribunal ne saurait admettre que la situation actuelle prévalant en Bosnie et Herzégovine puisse constituer à elle seule une mise en danger concrète du recourant. Il est notoire que ce pays ne connaît pas une situation de guerre, de guerre civile ou de violence généralisée qui permettrait d'emblée - et indépendamment des circonstances du cas d'espèce - de présumer, à propos de tous les ressortissants du pays, l'existence d'une telle mise en danger concrète au sens de l'art. 83 al. 4 LEtr. Au demeurant, par décision du 25 juin 2003, le Conseil fédéral a ajouté la Bosnie et Herzégovine à la liste des Etats sûrs (safe country), avec effet au 1er août 2003. En outre, s'agissant de la situation personnelle de A._______, il ne ressort du dossier aucun élément dont on pourrait inférer que l'exécution du renvoi impliquerait une mise en danger concrète du recourant. En effet, le recourant est jeune, célibataire sans charge de famille et n'a jamais fait état de problèmes de santé particuliers. Par ailleurs, s'il n'a pas de formation professionnelle à proprement parler, il bénéficie toutefois d'une expérience professionnelle de plusieurs mois acquise en Suisse, (...). De surcroît, en Bosnie et Herzégovine, en sus de la présence de plusieurs membres de sa famille élargie sur place, A._______ y a encore deux frère et soeur aînés, lesquels pourront lui apporter leur soutien. Enfin, il pourra assurément compter sur l'aide matérielle et financière de sa nombreuse famille (une quinzaine de personnes) résidant en Suisse et en Europe. En outre, le Tribunal relèvera encore que le recourant et sa famille ont vécu à K._______ depuis leur retour de Suisse en 2000 et jusqu'à la fin de l'année 2007. Durant toutes ces années, ils ont notamment pu subvenir à leurs besoins grâce à l'aide sociale dont a pu bénéficier la mère du recourant, B._______. Or rien au dossier ne laisse à penser qu'à son retour en Bosnie et Herzégovine, A._______ ne puisse, le cas échéant, obtenir à son tour une telle aide.</w:t>
      </w:r>
    </w:p>
    <w:p>
      <w:r>
        <w:rPr>
          <w:b/>
        </w:rPr>
        <w:t>E. 8.3</w:t>
      </w:r>
    </w:p>
    <w:p>
      <w:r>
        <w:t>Pour ces motifs, l'exécution du renvoi doit être considérée comme raisonnablement exigible.</w:t>
      </w:r>
    </w:p>
    <w:p>
      <w:r>
        <w:rPr>
          <w:b/>
        </w:rPr>
        <w:t>E. 9</w:t>
      </w:r>
    </w:p>
    <w:p>
      <w:r>
        <w:t>Sous l'angle de l'art. 83 al. 2 LEtr,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doit être rejeté.</w:t>
      </w:r>
    </w:p>
    <w:p>
      <w:r>
        <w:rPr>
          <w:b/>
        </w:rPr>
        <w:t>E. 11</w:t>
      </w:r>
    </w:p>
    <w:p>
      <w:r>
        <w:t>Le Tribunal fait droit à la requête de A._______ et admet sa demande d'assistance judiciaire partielle, motifs pris que les conclusions du recours, au moment de leur dépôt, n'étaient pas d'emblée vouées à l'échec et que l'indigence de l'intéressé doit être admise sur la base des informations figurant au dossier. En conséquence, le présent arrêt est rendu sans frais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