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D-1950/2017 vom 22. Februar 2017</w:t>
      </w:r>
    </w:p>
    <w:p>
      <w:r>
        <w:t>Bundesverwaltungsgericht, 2017-02-22, DE</w:t>
      </w:r>
    </w:p>
    <w:p>
      <w:r>
        <w:rPr>
          <w:b/>
        </w:rPr>
        <w:t xml:space="preserve">Quelle: </w:t>
      </w:r>
      <w:r>
        <w:t>https://mcp.opencaselaw.ch/entscheid/bvger_D-1950_2017_d20170222</w:t>
      </w:r>
    </w:p>
    <w:p>
      <w:r>
        <w:t>FR: TAF D-1950/2017 du 22 février 2017</w:t>
      </w:r>
    </w:p>
    <w:p>
      <w:r>
        <w:t>IT: TAF D-1950/2017 del 22 febbraio 2017</w:t>
      </w:r>
    </w:p>
    <w:p>
      <w:pPr>
        <w:pStyle w:val="Heading2"/>
      </w:pPr>
      <w:r>
        <w:t>Regeste</w:t>
      </w:r>
    </w:p>
    <w:p>
      <w:r>
        <w:t>Asyl und Wegweisung | Asyl und Wegweisung; Verfügung des SEM vom 22. Februar 2017</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w:t>
      </w:r>
    </w:p>
    <w:p>
      <w:r>
        <w:t>D-1950/2017 Seite 6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nach der fristgerechten Leistung des Kostenvorschusses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Im Rahmen der Vernehmlassung hob die Vorinstanz den angefochtenen Entscheid mit Verfügung vom 5. Mai 2021 bezüglich Anordnung des Weg- weisungsvollzugs auf und der Beschwerdeführer wurde in der Schweiz we- gen Unzumutbarkeit vorläufig aufgenommen. In Bezug auf die Dispositiv- ziffern 4 und 5 der angefochtenen Verfügung ist die Beschwerde somit ge- genstandslos geworden. Der Prozessgegenstand beschränkt sich im vor- liegenden Verfahren demnach auf die Flüchtlingseigenschaft, Asyl sowie die Anordnung der Wegweisung (Dispositivziffern 1 bis 3 der angefochte- nen Verfügung).</w:t>
      </w:r>
    </w:p>
    <w:p>
      <w:r>
        <w:rPr>
          <w:b/>
        </w:rPr>
        <w:t>E. 4.1</w:t>
      </w:r>
    </w:p>
    <w:p>
      <w:r>
        <w:t>Gemäss Art. 2 Abs. 1 AsylG gewährt die Schweiz Flüchtlingen grund- sätzlich Asyl. Flüchtlinge sind Personen, die in ihrem Heimatstaat oder im</w:t>
      </w:r>
    </w:p>
    <w:p>
      <w:r>
        <w:t>D-1950/2017 Seite 7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BVGE 2012/5 E. 2.2).</w:t>
      </w:r>
    </w:p>
    <w:p>
      <w:r>
        <w:rPr>
          <w:b/>
        </w:rPr>
        <w:t>E. 5.1</w:t>
      </w:r>
    </w:p>
    <w:p>
      <w:r>
        <w:t>Die Vorinstanz kam in ihrem Asylentscheid zum Schluss, die Vorbrin- gen des Beschwerdeführers hielten den Anforderungen an die Flüchtlings- eigenschaft gemäss Art. 3 AsylG nicht stand, weshalb es sich erübrige, auf allfällige Unglaubhaftigkeitselemente einzugehen. Im Einzelnen führte sie zur Begründung an, die unsichere Lage in weiten Teilen Afghanistans sei bedauerlich, jedoch bestehe gemäss den Ausfüh- rungen des Beschwerdeführers keine begründete Furcht vor künftigen Ver- folgungsmassnahmen aufgrund des von ihm geschilderten Vorfalls. Der Vorfall, inklusive der Drohanrufe auf das Mobiltelefon des Vaters, hätten sich bereits zwei Jahre vor der Ausreise aus Afghanistan ereignet. Seither sei diesbezüglich gemäss seinen Aussagen nichts mehr passiert. Somit bestehe kein direkter kausaler Zusammenhang zwischen diesem Vorbrin- gen und der Ausreise und damit auch keine begründete Furcht, dass der Beschwerdeführer wegen dieses Ereignisses künftiger Verfolgung ausge- setzt sei. Deshalb werde die asylrechtliche Relevanz dieses Vorbringens verneint.</w:t>
      </w:r>
    </w:p>
    <w:p>
      <w:r>
        <w:t>D-1950/2017 Seite 8 Es sei bedauernswert, dass in Afghanistan gewisse ethnische Gruppen Diskriminierungen durch andere Ethnien ausgesetzt seien. Die Probleme des Beschwerdeführers seien jedoch lokal auf dessen Arbeitsort in J._______ und zeitlich auf den Anfang von dessen Arbeitstätigkeit dort be- schränkt gewesen und hätten demnach weder sachlich noch zeitlich einen direkten Zusammenhang mit der Ausreise aus Afghanistan. Dem SEM lä- gen zudem keine Anzeichen dafür vor, dass die mehrheitlich schiitischen Hazaras alleine wegen ihrer Volkszugehörigkeit einer gezielten Verfolgung unterlägen. Demnach stelle der geltend gemachte Grund keine asylbeacht- liche Verfolgung dar und sei nicht asylrelevant im Sinne von Art. 3 AsylG. Dass der Beschwerdeführer unter psychischen Problemen leide, stellten schliesslich medizinische Probleme dar, die im Sinne von Art. 3 AsylG nicht asylrelevant seien.</w:t>
      </w:r>
    </w:p>
    <w:p>
      <w:r>
        <w:rPr>
          <w:b/>
        </w:rPr>
        <w:t>E. 5.2</w:t>
      </w:r>
    </w:p>
    <w:p>
      <w:r>
        <w:t>In der Rechtsmittelschrift hielt der Beschwerdeführer an der Glaubhaf- tigkeit und asylrechtlichen Relevanz seiner bisherigen Vorbringen fest und machte neu geltend, dass er homosexuell sei. Er habe seine homosexuelle Orientierung wahrgenommen, als er in I._______ und H._______ erwerbs- tätig gewesen sei. An diesen Orten sei er erstmals in Kontakt mit Homose- xuellen gekommen und habe seine Homosexualität auch ausgelebt bezie- hungsweise dort Geschlechtsverkehr mit mehreren Männern gehabt. Es habe sich um bezahlten Sex gehandelt. Eine feste Beziehung habe er nicht gehabt. Er habe seine sexuellen Bedürfnisse wiederholt ausgelebt. Nach zirka einem Jahr habe seine Familie jedoch Kenntnisse von seiner Homo- sexualität erhalten und ihn damit konfrontiert. Sein Vater und sein Bruder hätten ihm gesagt, in der afghanischen Kultur würde Homosexualität nicht akzeptiert, er müsse damit aufhören. Sein Bruder habe ihn sogar tätlich angegriffen und an mehreren Körperstellen verletzt. Aufgrund der Schande, welche die Homosexualität eines Familienangehörigen über die ganze Familie bringe, versuchten die Familienangehörigen alles, um seine Homosexualität geheim zu halten. Aus diesem Grund sei er auch zwangs- verheiratet worden. Ob die Familienangehörigen der Ehefrau zum Zeit- punkt der Eheschliessung über seine Homosexualität Bescheid gewusst hätten, wisse er nicht. Er sei somit in sozialer Hinsicht unter enormem Druck gestanden und letztlich im Ausleben seiner Sexualität völlig einge- schränkt gewesen. Die Situation habe sich jedoch in der Zwischenzeit nochmals erheblich verschärft: Ihm sei von seinem Bruder mitgeteilt wor- den, dass seine Homosexualität inzwischen auch ausserhalb der Familie bekannt geworden beziehungsweise an die Öffentlichkeit gelangt sei. Da- mit wäre er im Falle einer Rückkehr Lebensgefahr ausgesetzt. Durch den</w:t>
      </w:r>
    </w:p>
    <w:p>
      <w:r>
        <w:t>D-1950/2017 Seite 9 Geschlechtsverkehr sei er von der bakteriellen Infektionskrankheit (…) an- gesteckt worden und habe sich deswegen in Afghanistan auch in medizini- sche Behandlung begeben müssen. Er sei von dieser Krankheit jedoch nicht geheilt, weshalb er sich deswegen in den nächsten Tagen zum Haus- arzt begeben werde. Er mache diese Gründe erst jetzt, im Rahmen des Beschwerdeverfahrens geltend, da deren Vorbringen für ihn – im Kontext mit seiner Herkunft – mit enormer Scham in Verbindung stehe. Er habe sich deshalb nicht früher zur Geltendmachung überwinden können. Erst unter dem enormen Druck des negativen Asylentscheides sei die Überwin- dung möglich gewesen. Er bitte daher um Verständnis und Nachsicht so- wie um Entschuldigung für die den Asylbehörden entstandenen Umstände.</w:t>
      </w:r>
    </w:p>
    <w:p>
      <w:r>
        <w:rPr>
          <w:b/>
        </w:rPr>
        <w:t>E. 6</w:t>
      </w:r>
    </w:p>
    <w:p>
      <w:r>
        <w:t>Der Beschwerdeführer beantragte in erste Linie, die Sache sei zwecks er- neuter materieller Prüfung (inklusive erneute Anhörung) an die Vorinstanz zurückzuweisen. Diese formelle Rüge ist vorab zu beurteilen.</w:t>
      </w:r>
    </w:p>
    <w:p>
      <w:r>
        <w:rPr>
          <w:b/>
        </w:rPr>
        <w:t>E. 6.1</w:t>
      </w:r>
    </w:p>
    <w:p>
      <w:r>
        <w:t>Dazu führte er zunächst aus, die Vorbringen betreffend Homosexualität und Erkrankung seien bislang aufgrund des Vorbringens "in letzter Minute" erst ansatzweise exploriert. Die Angaben seien unvollständig, weshalb wei- tere Abklärungen durch die Vorinstanz nötig seien. Zudem sei nicht auszu- schliessen, dass zu einer späteren Anhörung kleinere Widersprüche ent- stehen könnten.</w:t>
      </w:r>
    </w:p>
    <w:p>
      <w:r>
        <w:rPr>
          <w:b/>
        </w:rPr>
        <w:t>E. 6.2</w:t>
      </w:r>
    </w:p>
    <w:p>
      <w:r>
        <w:t>Damit wird implizit eine unvollständige Feststellung des rechtserhebli- chen Sachverhaltes gerügt. Gemäss Art. 12 VwVG stellt die Behörde den Sachverhalt von Amtes we- gen fest. Der Untersuchungsgrundsatz findet seine Grenze an der Mitwir- kungspflicht der Asylsuchenden (Art. 8 AsylG; Art. 13 VwVG). Unrichtig ist die Sachverhaltsfeststellung, wenn der Verfügung ein falscher und akten- widriger Sachverhalt zugrunde gelegt wird oder Beweise falsch gewürdigt worden sind; unvollständig ist sie, wenn nicht alle für den Entscheid rechts- wesentlichen Sachumstände berücksichtigt werden (vgl. BVGE 2016/2 E. 4.3). Die Begründungspflicht ergibt sich aus dem in Art. 29 Abs. 2 BV normierten Anspruch auf rechtliches Gehör und ist in Art. 35 Abs. 1 VwVG ausdrücklich geregelt. Danach obliegt es der verfügenden Behörde, alle erheblichen Parteivorbringen zu prüfen und zu würdigen, wobei sich das Ergebnis der Würdigung in der Entscheidbegründung niederzuschlagen hat. Nach den von Lehre und Praxis entwickelten Grundsätzen hat die Be- hörde im Rahmen der Entscheidbegründung die Überlegungen zu nennen,</w:t>
      </w:r>
    </w:p>
    <w:p>
      <w:r>
        <w:t>D-1950/2017 Seite 10 von denen sie sich leiten liess und auf die sich ihr Entscheid stützt. Die Begründung des Entscheids muss so abgefasst sein, dass der Betroffene ihn gegebenenfalls sachgerecht anfechten kann. Die Behörde muss sich jedoch nicht mit jeder tatbeständlichen Behauptung auseinandersetzen, sondern kann sich auf die für den Entscheid wesentlichen Gesichtspunkte beschränken (vgl. BVGE 2016/9 E. 5.1).</w:t>
      </w:r>
    </w:p>
    <w:p>
      <w:r>
        <w:rPr>
          <w:b/>
        </w:rPr>
        <w:t>E. 6.3</w:t>
      </w:r>
    </w:p>
    <w:p>
      <w:r>
        <w:t>Die vom Beschwerdeführer geltend gemachte Homosexualität, welche zwischenzeitlich auch ausserhalb der Familie bekannt geworden bezie- hungsweise an die Öffentlichkeit gelangt sei, weshalb er im Falle einer Rückkehr Lebensgefahr ausgesetzt wäre, wurde zwar erst auf Beschwer- deebene eingebracht. Im Zusammenhang mit einer Rückkehr nach Afgha- nistan ist solchen Umständen – sollten sie denn der Wahrheit entsprechen – durch die Asylbehörden aber zweifellos Rechnung zu tragen (vgl. auch Referenzurteil des BVGer D-4952/2014 vom 23. August 2017). Die Vor- instanz hat sich jedoch in ihrer Vernehmlassung vom 5. Mai 2021 mit kei- nem Wort dazu geäussert respektive zum Asyl und der Flüchtlingseigen- schaft nicht vernehmen lassen. Weshalb die Vorinstanz in diesen Punkten an der angefochtenen Verfügung festhält, bleibt damit gänzlich unbegrün- det. Ausserdem ist in diesem Zusammenhang aktuell der Sachverhalt un- vollständig festgestellt, weshalb geeignete weitere Abklärungen (allenfalls in Form einer zweiten Anhörung) vorzunehmen sind.</w:t>
      </w:r>
    </w:p>
    <w:p>
      <w:r>
        <w:rPr>
          <w:b/>
        </w:rPr>
        <w:t>E. 6.4.1</w:t>
      </w:r>
    </w:p>
    <w:p>
      <w:r>
        <w:t>Insbesondere aber hielt das SEM bezüglich des Vorfalls im Ramadan (...) fest, dieser habe sich bereits (...) Jahre vor der Ausreise des Beschwer- deführers ereignet und seither sei diesbezüglich nichts mehr passiert. So- mit bestehe kein direkter kausaler Zusammenhang zwischen diesem Vor- bringen und der Ausreise und damit keine begründete Furcht, dass der Be- schwerdeführer wegen dieses Ereignisses künftiger Verfolgung ausgesetzt sei.</w:t>
      </w:r>
    </w:p>
    <w:p>
      <w:r>
        <w:rPr>
          <w:b/>
        </w:rPr>
        <w:t>E. 6.4.2</w:t>
      </w:r>
    </w:p>
    <w:p>
      <w:r>
        <w:t>Begründet ist die Furcht vor Verfolgung, wenn ein konkreter Anlass zur Annahme besteht, letztere hätte sich – aus der Sicht im Zeitpunkt der Ausreise – mit beachtlicher Wahrscheinlichkeit und in absehbarer Zeit ver- 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w:t>
      </w:r>
    </w:p>
    <w:p>
      <w:r>
        <w:t>D-1950/2017 Seite 11 teilung einerseits aufgrund einer objektivierten Betrachtungsweise zu erfol- gen und ist andererseits durch das von der betroffenen Person bereits Er- lebte und das Wissen um Konsequenzen in vergleichbaren Fällen zu er- gänzen. Wer bereits Verfolgungsmassnahmen ausgesetzt war, hat objek- tive Gründe für eine ausgeprägtere (subjektive) Furcht (vgl. BVGE 2014/27 E. 6.1; 2010/57 E. 2).</w:t>
      </w:r>
    </w:p>
    <w:p>
      <w:r>
        <w:rPr>
          <w:b/>
        </w:rPr>
        <w:t>E. 6.4.3</w:t>
      </w:r>
    </w:p>
    <w:p>
      <w:r>
        <w:t>Der Argumentation in der Verfügung des SEM, wonach die Furcht vor einer Verfolgung im Zusammenhang mit vom Beschwerdeführer im Auftrag einer grossen ausländischen Firma insbesondere für die lokalen Behörden (Zivilpolizei) ausgeführten Arbeiten (objektiv) nicht begründet sei, kann nicht gefolgt werden. So wurde von der Vorinstanz nicht in Abrede gestellt, dass diese Tätigkeiten den Verfolgern des Beschwerdeführers bekannt wa- ren. Aufgrund der Aktenlage kann sodann nicht ausgeschlossen werden, dass dieser damit zur Zielscheibe der Taliban geworden ist. Des Weiteren wurde in der Beschwerde gegen das Argument der Vorinstanz, der Be- schwerdeführer sei bis zu seiner (...) Jahre später erfolgten Ausreise nicht mehr behelligt worden, zu Recht eingewendet, das SEM habe sein Verhal- ten ausser Acht gelassen: Er habe die Stadt E._______ nicht mehr verlas- sen und sei auch sonst nur sehr selten aus dem Haus gegangen bezie- hungsweise habe mit seinem persönlichen Verhalten vorübergehend wei- tere Überfälle vermieden. Auch der Hinweis in der Beschwerde auf die feh- lenden lokalen staatlichen Schutzstrukturen in Afghanistan erfolgte zu Recht. Mithin ist insofern von einer Verletzung der Begründungspflicht durch die Vorinstanz auszugehen. Hinzu kommt, dass inzwischen auch in der Stadt E._______ von der Herrschaft der Taliban auszugehen ist und zu klären sein wird, ob die frühere Tätigkeit des Beschwerdeführers für aus- ländische Organisationen ihn unabhängig von der Verfolgungssituation im Zeitpunkt der Ausreise als gefährdet erscheinen lässt.</w:t>
      </w:r>
    </w:p>
    <w:p>
      <w:r>
        <w:rPr>
          <w:b/>
        </w:rPr>
        <w:t>E. 6.5</w:t>
      </w:r>
    </w:p>
    <w:p>
      <w:r>
        <w:t>Nach dem Gesagten verletzt die angefochtene Verfügung den An- spruch auf eine rechtsgenügliche Feststellung des Sachverhaltes und ge- nügt den Anforderungen an die Begründungspflicht nicht.</w:t>
      </w:r>
    </w:p>
    <w:p>
      <w:r>
        <w:rPr>
          <w:b/>
        </w:rPr>
        <w:t>E. 7</w:t>
      </w:r>
    </w:p>
    <w:p>
      <w:r>
        <w:t>Gemäss Art. 61 Abs. 1 VwVG entscheidet das Bundesverwaltungsgericht in der Sache selbst oder weist diese ausnahmsweise mit verbindlichen Weisungen an die Vorinstanz zurück.</w:t>
      </w:r>
    </w:p>
    <w:p>
      <w:r>
        <w:rPr>
          <w:b/>
        </w:rPr>
        <w:t>E. 7.1</w:t>
      </w:r>
    </w:p>
    <w:p>
      <w:r>
        <w:t>Eine Kassation und Rückweisung an die Vorinstanz ist insbesondere angezeigt, wenn weitere Tatsachen festgestellt werden müssen und ein</w:t>
      </w:r>
    </w:p>
    <w:p>
      <w:r>
        <w:t>D-1950/2017 Seite 12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m.w.H.). Eine Verletzung des Anspruchs auf rechtliches Gehör führt – angesichts des formellen Charakters des Gehörs- anspruchs unabhängig davon, ob die angefochtene Verfügung bei korrek- ter Verfahrensführung im Ergebnis anders ausgefallen wäre – grundsätz- lich ebenfalls zur Kassation und Rückweisung der Sache an die Vorinstanz. Die Heilung von Gehörsverletzungen aus prozessökonomischen Gründen ist auf Beschwerdeebene nur möglich, sofern das Versäumte nachgeholt wird, der Beschwerdeführer dazu Stellung nehmen kann und der Be- schwerdeinstanz für die konkrete Streitfrage die freie Überprüfungsbefug- nis in Bezug auf Tatbestand und Rechtsanwendung zukommt sowie die festgestellte Verletzung nicht schwerwiegender Natur ist und die fehlende Entscheidungsreife durch die Beschwerdeinstanz mit vertretbarem Auf- wand hergestellt werden kann (vgl. BVGE 2014/22 E. 5.3 m.w.H.).</w:t>
      </w:r>
    </w:p>
    <w:p>
      <w:r>
        <w:rPr>
          <w:b/>
        </w:rPr>
        <w:t>E. 7.2</w:t>
      </w:r>
    </w:p>
    <w:p>
      <w:r>
        <w:t>Im vorliegenden Fall erscheint es aus prozessökonomischen Gründen nicht angebracht, die fehlende Entscheidungsreife durch die Beschwer- deinstanz herzustellen. Es ist nicht Aufgabe des Bundesverwaltungsge- richts – welches in Asylsachen die einzige Beschwerdeinstanz ist – für eine vollständige Feststellung des rechtserheblichen Sachverhalts zu sorgen. Somit erscheint es vorliegend als angezeigt, die angefochtene Verfügung aufzuheben und die Sache zur richtigen und vollständigen Feststellung des Sachverhalts sowie zur rechtsgenüglichen Prüfung, Begründung und Ent- scheidung an die Vorinstanz zurückzuweisen.</w:t>
      </w:r>
    </w:p>
    <w:p>
      <w:r>
        <w:rPr>
          <w:b/>
        </w:rPr>
        <w:t>E. 7.3</w:t>
      </w:r>
    </w:p>
    <w:p>
      <w:r>
        <w:t>Nach dem Gesagten ist die Beschwerde gutzuheissen, soweit die Auf- hebung der Dispositivziffern 1–3 der angefochtenen Verfügung beantragt wird. Die Verfügung vom 22. Februar 2017 ist insoweit aufzuheben und die Sache an die Vorinstanz zurückzuweisen. Im Übrigen ist die Beschwerde gegenstandslos geworden.</w:t>
      </w:r>
    </w:p>
    <w:p>
      <w:r>
        <w:rPr>
          <w:b/>
        </w:rPr>
        <w:t>E. 8.1</w:t>
      </w:r>
    </w:p>
    <w:p>
      <w:r>
        <w:t>Bei diesem Ausgang des Verfahrens sind keine Kosten zu erheben (Art. 63 Abs. 1 und 2 VwVG sowie Art. 5 erster Satz des Reglements vom 21. Februar 2008 über die Kosten und Entschädigungen vor dem Bundes- verwaltungsgericht [VGKE, SR 173.320.2]). Der am 26. April 2017 geleis- tete Kostenvorschuss von Fr. 750.– ist dem Beschwerdeführer zurückzu- erstatten.</w:t>
      </w:r>
    </w:p>
    <w:p>
      <w:r>
        <w:t>D-1950/2017 Seite 13</w:t>
      </w:r>
    </w:p>
    <w:p>
      <w:r>
        <w:rPr>
          <w:b/>
        </w:rPr>
        <w:t>E. 8.2</w:t>
      </w:r>
    </w:p>
    <w:p>
      <w:r>
        <w:t>Obsiegende Parteien haben Anspruch auf eine Entschädigung für die ihnen erwachsenen notwendigen und verhältnismässig hohen Kosten (Art. 64 Abs. 1 VwVG sowie Art. 5 erster Satz, 7 Abs. 1 und 15 VGKE). Der Rechtsvertreter reichte am 25. Mai 2021 eine Kostennote zu den Akten. Darin werden ein Aufwand von 9.75 Stunden bei einem Stundenansatz von Fr. 200.– und Auslagen von Fr. 40.– ausgewiesen. Diese Kostennote er- scheint angemessen. Demnach ist das SEM anzuweisen, dem Beschwer- deführer für das Verfahren vor dem Bundesverwaltungsgericht eine Partei- entschädigung von Fr. 1'990.– auszurichten.</w:t>
      </w:r>
    </w:p>
    <w:p>
      <w:r>
        <w:t>(Dispositiv nächste Seite)</w:t>
      </w:r>
    </w:p>
    <w:p>
      <w:r>
        <w:t>D-1950/2017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