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D-194/2024 vom 29. Januar 2024</w:t>
      </w:r>
    </w:p>
    <w:p>
      <w:r>
        <w:t>Bundesverwaltungsgericht, 2024-01-29, FR</w:t>
      </w:r>
    </w:p>
    <w:p>
      <w:r>
        <w:rPr>
          <w:b/>
        </w:rPr>
        <w:t xml:space="preserve">Quelle: </w:t>
      </w:r>
      <w:r>
        <w:t>https://mcp.opencaselaw.ch/entscheid/bvger_D-194_2024</w:t>
      </w:r>
    </w:p>
    <w:p>
      <w:r>
        <w:t>FR: TAF D-194/2024 du 29 janvier 2024</w:t>
      </w:r>
    </w:p>
    <w:p>
      <w:r>
        <w:t>IT: TAF D-194/2024 del 29 gennaio 2024</w:t>
      </w:r>
    </w:p>
    <w:p>
      <w:pPr>
        <w:pStyle w:val="Heading2"/>
      </w:pPr>
      <w:r>
        <w:t>Regeste</w:t>
      </w:r>
    </w:p>
    <w:p>
      <w:r>
        <w:t>Asile et renvoi</w:t>
      </w:r>
    </w:p>
    <w:p>
      <w:pPr>
        <w:pStyle w:val="Heading2"/>
      </w:pPr>
      <w:r>
        <w:t>Erwägungen</w:t>
      </w:r>
    </w:p>
    <w:p>
      <w:r>
        <w:rPr>
          <w:b/>
        </w:rPr>
        <w:t>E. 30</w:t>
      </w:r>
    </w:p>
    <w:p>
      <w:r>
        <w:t>octobre 2012, p. 4 ; E-5554/2016 du 22 août 2017, p. 4), qu’en d’autres termes, l’absence de conclusion en réforme interdit au Tribunal de revoir l’affaire au fond (cf. arrêt du Tribunal E-5909/2016 du 5 décembre 2016), que si l'art. 61 al. 1 PA donne la préséance à la réforme, celle-ci présuppose toutefois qu’une conclusion soit prise en ce sens, ou à tout le moins qu’une conclusion au fond ressorte clairement de la motivation du recours, ce qui n’est pas le cas en l’occurrence (cf. arrêt du Tribunal E-1872/2022 du 12 mai 2022 ; cf. mutatis mutandis, ATF 134 III 379 consid. 1.4.1 et arrêts du Tribunal fédéral 8C_445/2009 du 22 juillet 2010 consid. 2 [non publié in ATF 136 V 339] et 8C_1046/2009 du 25 février 2010 consid. 1), la mandataire du recourant ayant expressément indiqué qu’un arrêt réformatoire n’entrait pas en considération in casu (cf. mémoire de recours, ch. 4.1), que la conclusion purement cassatoire formulée par le recourant, qui ne requiert pas du Tribunal de nouvelle décision au fond, repose sur les seuls griefs d’ordre formel que sont la violation, par le SEM, de l’obligation de motiver sa décision et de la maxime inquisitoire (pour, essentiellement, avoir renoncé à la tenue d’une audition complémentaire),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qu'elle n'a toutefois pas l'obligation d'exposer et de discuter tous les faits, moyens de preuve et griefs invoqués par les parties, mais peut au contraire se limiter</w:t>
      </w:r>
    </w:p>
    <w:p>
      <w:r>
        <w:t>D-194/2024 Page 5 à l'examen des questions décisives pour l'issue du litige (cf. ATF 138 IV 81 consid. 2.2 et réf. cit. ; ATAF 2011/22 consid. 3.3), que conformément à la maxime inquisitoire (art. 12 PA en relation avec l’art. 6 LAsi), l'autorité administrative constate les faits d'office et procède s’il y a lieu à l’administration des preuves nécessaires à l’établissement des faits pertinents (cf. ATAF 2009/60 consid. 2.1.1), que nonobstant la maxime précitée,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qu’en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140 I 285 consid. 6.3.1), qu’en l’espèce, dès lors que l'on peut discerner les motifs qui ont guidé la décision de l'autorité, le droit à une décision motivée a été respecté, que la motivation présentée par le SEM soit correcte ou erronée (cf. ATF 141 V 557 consid. 3.2.1), que le recourant ne soutient du reste pas que le SEM n’aurait pas exposé les raisons pour lesquelles il a rejeté sa demande d’asile, mais s’en prend en réalité au contenu de la motivation qu’il juge insatisfaisant ; que ce point ne relève toutefois pas du droit d’être entendu en lien avec l’obligation de motivation (cf. arrêts du Tribunal D-427/2023 du 28 novembre 2023 p.5 ; F-1686/2020 du 8 août 2020 consid. 3.2), que quoi qu’il en soit, les critiques du recourant à l’encontre de la décision de rejet de sa demande d’asile démontrent que dite motivation lui était compréhensible, que l’autorité précédente s’est ainsi conformée à son devoir de motivation, que s’agissant du grief relatif au devoir d’instruction, force est de constater que l’autorité précédente pouvait, sans tomber dans l’excès de son pouvoir d’appréciation, se satisfaire – par appréciation anticipée des preuves – du</w:t>
      </w:r>
    </w:p>
    <w:p>
      <w:r>
        <w:t>D-194/2024 Page 6 résultat de l’audition du recourant ainsi que des autres pièces du dossier pour fonder sa décision, qu’on ne voit pas en quoi une audition complémentaire – ou toute autre mesure d’instruction supplémentaire – aurait été utile à la présente cause, l’intéressé étant du reste muet sur ce point, que partant, les deux seuls griefs du recours, d’ordre formel, sont manifestement mal fondés, qu’au vu de ce qui précède, la conclusion purement cassatoire prise par le recourant doit être rejetée, qu’enfin, il n’y a pas lieu pour le Tribunal d’examiner d’autres questions de droit, non invoquées par le recourant, dans la mesure où ni les arguments du recours, ni le dossier ne l'y incitent (cf. ATAF 2009/57 consid. 1.2 p. 798 ; ATF 122 V 157 consid. 1a, 121 V 204 consid. 6c), que le recours doit ainsi être rejeté, que, s'avérant manifestement infondé, il l'est dans une procédure à juge unique, avec l'approbation d'une seconde juge (art. 111 let. e LAsi), qu'il est dès lors renoncé à un échange d'écritures, le présent arrêt n'étant motivé que sommairement (art. 111a al. 1 et 2 LAsi), que dans la mesure où il est immédiatement statué sur le fond, la requête tendant à la dispense du versement d'une avance de frais est sans objet, que les conclusions du recours étant d'emblée vouées à l'échec, la demande d'assistance judiciaire totale est rejetée, l'une des conditions cumulatives de l'art. 65 al. 1 PA (applicable par renvoi de l'art. 102m al. 1 LAsi) n'étant pas remplie, qu'il y a ainsi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D-194/2024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