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D-193/2012 vom 6. März 2012</w:t>
      </w:r>
    </w:p>
    <w:p>
      <w:r>
        <w:t>Bundesverwaltungsgericht, 2012-03-06, DE</w:t>
      </w:r>
    </w:p>
    <w:p>
      <w:r>
        <w:rPr>
          <w:b/>
        </w:rPr>
        <w:t xml:space="preserve">Quelle: </w:t>
      </w:r>
      <w:r>
        <w:t>https://mcp.opencaselaw.ch/entscheid/bvger_D-193_2012</w:t>
      </w:r>
    </w:p>
    <w:p>
      <w:r>
        <w:t>FR: TAF D-193/2012 du 6 mars 2012</w:t>
      </w:r>
    </w:p>
    <w:p>
      <w:r>
        <w:t>IT: TAF D-193/2012 del 6 marzo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w:t>
      </w:r>
    </w:p>
    <w:p>
      <w:r>
        <w:rPr>
          <w:b/>
        </w:rPr>
        <w:t>E. 1.4</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1.5</w:t>
      </w:r>
    </w:p>
    <w:p>
      <w:r>
        <w:t>Die Eröffnung der angefochtenen Verfügung kann mangels Vorliegen entsprechender Belege wie Rückschein oder Empfangsbestätigung nicht festgestellt werden. Gestützt auf die Auskunft des BFM per E-Mail soll die vorinstanzliche Verfügung am 31. Mai 2011 ausgehändigt worden sein. Mangels Zustellcouvert und Eingangsstempel kann auch nicht festgestellt werden, wann die Beschwerde den schweizerischen Behörden zugegangen ist. Gestützt auf die Angaben des BFM und zugunsten des Beschwerdeführers wird unter den gegebenen Umständen von der Rechtzeitigkeit der Beschwerdeerhebung ausgegangen.</w:t>
      </w:r>
    </w:p>
    <w:p>
      <w:r>
        <w:rPr>
          <w:b/>
        </w:rPr>
        <w:t>E. 1.6</w:t>
      </w:r>
    </w:p>
    <w:p>
      <w:r>
        <w:t>Die Beschwerdeeingabe vom 3. Juni 2011 enthält zwar keine eigenhändige Unterschrift des Beschwerdeführers und aus den Akten ist kein Vertretungsverhältnis ersichtlich. Gestützt darauf leidet die Eingabe vom 3. Juni 2011 unter einem Formmangel. Da indessen die Eingabe des Beschwerdeführers vom 22. Dezember 2011, welche eine eigenhändige Unterschrift enthält, als Beschwerdeergänzung und damit als Teil seiner Beschwerde zu betrachten ist, kann praxisgemäss davon ausgegangen werden, dass die Beschwerde vom Beschwerdeführer unterzeichnet ist. Den Akten können zudem keine Hinweise entnommen werden, gestützt auf welche davon auszugehen wäre, dass die Eingaben vom 3. Juni 2011 und vom 22. Dezember 2011 nicht als Einheit zu betrachten wären.</w:t>
      </w:r>
    </w:p>
    <w:p>
      <w:r>
        <w:rPr>
          <w:b/>
        </w:rPr>
        <w:t>E. 1.7</w:t>
      </w:r>
    </w:p>
    <w:p>
      <w:r>
        <w:t>Auf die - abgesehen von den erwähnten Mängeln - trotzdem insgesamt frist- und formgerechte Beschwerde ist somit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Zusammenfassung der Rechtsprechung im UrteilD-2018/2011 vom 14. September 2011 E. 7.1).</w:t>
      </w:r>
    </w:p>
    <w:p>
      <w:r>
        <w:rPr>
          <w:b/>
        </w:rPr>
        <w:t>E. 5.1</w:t>
      </w:r>
    </w:p>
    <w:p>
      <w:r>
        <w:t>Zunächst ist aufgrund der Vorbringen des Beschwerdeführers übereinstimmend mit der Vorinstanz darauf zu schliessen, dass die von ihm vorgebrachten Schwierigkeiten mit den äthiopischen Behörden in asylrechtlicher Hinsicht relevant erscheinen können. Im Hinblick auf die Erwägungen in Ziff. 5.2 dieses Urteils kann die Frage, ob der Beschwerdeführer tatsächlich einer Gefährdung im Sinne von Art. 3 AsylG ausgesetzt ist, ebenso offen bleiben wie die Frage, ob seine Vorbringen als glaubhaft zu erachten sind oder nicht, da es ihm selbst im Fall einer Bejahung einer flüchtlingsrechtlich relevanten Gefährdung und der Glaubhaftigkeit seiner Vorbringen zuzumuten ist, sich trotzdem weiterhin C.______ aufzuhalten.</w:t>
      </w:r>
    </w:p>
    <w:p>
      <w:r>
        <w:rPr>
          <w:b/>
        </w:rPr>
        <w:t>E. 5.2</w:t>
      </w:r>
    </w:p>
    <w:p>
      <w:r>
        <w:t>Mit Blick auf die Frage, ob es dem Beschwerdeführer zugemutet wer­den kann, sich in einem anderen Drittstaat um Aufnahme zu bemühen (Art. 20 Abs. 2 und Art. 52 Abs. 2 AsylG), ergibt die Prüfung der Akten, dass sich die diesbezüglichen Erwägungen in der angefochtenen Verfü­gung als zutreffend erweisen. Der Beschwerdeführer befindet sich gemäss seinen Angaben in der Eingabe vom 15. Januar 2011 (vgl. A8/1) seit Dezember 2007 C._______, wo er gestützt auf seine Aussagen und die eingereichte Kopie seines Flüchtlingsausweises vom UNHCR als Flüchtling registriert ist. Es mag zutreffen, dass es C._______ in vereinzelten Fällen zu Entführungen von äthiopischen Staatsangehörigen gekommen ist. Die Tatsache indessen, dass der Beschwerdeführer seit etwa 4 Jahren als Flüchtling C._______ lebt, spricht im Ergebnis dagegen, dass hinsichtlich seiner Person diesbezüglich eine konkrete Gefahr besteht. Soweit er behauptet, er werde C._______ fast täglich von Mitgliedern der EPRDF beziehungsweise von Vertretern der äthiopischen Behörden verfolgt, misshandelt und mit dem Tod bedroht, bestehen erhebliche Zweifel an seinen Angaben. So sind seine diesbezüglichen Aussagen durchwegs substanzlos und eintönig ausgefallen; vielmehr erscheinen sie so oberflächlich, dass sie auch von einer Drittperson nacherzählt worden sein könnten. Ein persönlicher Bezug zum Beschwerdeführer oder Angaben, welche auf ein persönliches Erleben der geltend gemachten Situationen Hinweise ergeben würden, fehlen den Vorbringen. Zudem trifft es - entgegen den Aussagen des Beschwerdeführers - nicht zu, dass der UNHCR nichts für die von ihm registrierten Personen unternimmt. Vielmehr werden diese einem Flüchtlingslager zugewiesen, wo ihnen eine Unterkunft, Verpflegung und - soweit nötig - medizinische Betreuung zukommt. Eine allenfalls erfolgte Festnahme des Beschwerdeführers C._______ dürfte somit vielmehr darin begründet liegen, dass er sich bisher offenbar geweigert hat, sich in dem ihm zugewiesenen Flüchtlingslager aufzuhalten. Dass sich der UNHCR in keiner Weise für ihn eingesetzt hätte, ist im Übri­gen eine blosse Behauptung des Beschwerdeführers, welche mit den Erkenntnissen des Bundesverwaltungsgerichts, wonach der UNHCR durchaus bemüht ist, sich C._______ aufhaltende Flüchtlinge zu unterstützen, in Widerspruch steht. Folglich sind die vorgebrachten Nachteile C._______ nicht als glaubhaft zu betrachten. Im Übrigen ist es dem Beschwerdeführer grundsätzlich zuzumuten, sich künftig in dem ihm zugewiesenen Flüchtlingslager aufzuhalten, um allfäl­lige weitere Inhaftierungen und allfällige andere Probleme zu vermeiden. Im vorliegenden Fall tritt hinzu, dass beim Beschwerdeführer keinerlei Anhaltspunkte für eine besondere Beziehungsnähe zur Schweiz bestehen. Eine Abwägung der Gesamtumstände im Sinne von Art. 52 Abs. 2 AsylG führt somit vorliegend zum Schluss, dass ihm ein Verbleib C._______ zuzumuten ist.</w:t>
      </w:r>
    </w:p>
    <w:p>
      <w:r>
        <w:rPr>
          <w:b/>
        </w:rPr>
        <w:t>E. 6</w:t>
      </w:r>
    </w:p>
    <w:p>
      <w:r>
        <w:t>Zusammenfassend ergibt sich, dass die angefochtene Verfügung Bundesrecht nicht verletzt, den rechtserheblichen Sachverhalt richtig und vollständig feststellt und angemessen ist (Art. 106 Abs. 1 AsylG). Das BFM hat das Asylgesuch des Beschwerdeführers aus dem Ausland zu Recht abgelehnt und ihm die Einreise in die Schweiz verweigert. Die Be­schwerde ist deshalb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