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D-1931/2019 vom 27. Mai 2019</w:t>
      </w:r>
    </w:p>
    <w:p>
      <w:r>
        <w:t>Bundesverwaltungsgericht, 2019-05-27, FR</w:t>
      </w:r>
    </w:p>
    <w:p>
      <w:r>
        <w:rPr>
          <w:b/>
        </w:rPr>
        <w:t xml:space="preserve">Quelle: </w:t>
      </w:r>
      <w:r>
        <w:t>https://mcp.opencaselaw.ch/entscheid/bvger_D-1931_2019</w:t>
      </w:r>
    </w:p>
    <w:p>
      <w:r>
        <w:t>FR: TAF D-1931/2019 du 27 mai 2019</w:t>
      </w:r>
    </w:p>
    <w:p>
      <w:r>
        <w:t>IT: TAF D-1931/2019 del 27 maggio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w:t>
      </w:r>
    </w:p>
    <w:p>
      <w:r>
        <w:rPr>
          <w:b/>
        </w:rPr>
        <w:t>E. 1.3</w:t>
      </w:r>
    </w:p>
    <w:p>
      <w:r>
        <w:t>L'intéressée, agissant pour elle-même et son enfant, a qualité pour recourir (art. 48 al. 1 PA). Présenté dans la forme (52 al. 1 PA) et le délai (anc. art. 108 al. 1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La recourante a attribué les persécutions des autorités de son pays d'origine, à sa recherche pour l'éliminer, d'une part, au fait qu'elle était « signataire » des terres de son défunt père, biens que dites autorités avaient toujours voulu acquérir du vivant de celui-ci, mais en vain, d'autre part, au fait qu'elle était liée à sa mère, (fonction), et qu'elle connaissait, à ce titre et au même titre que sa mère, le lieu où étaient cachés des documents relatifs aux victimes de ce massacre.</w:t>
      </w:r>
    </w:p>
    <w:p>
      <w:r>
        <w:rPr>
          <w:b/>
        </w:rPr>
        <w:t>E. 3.2</w:t>
      </w:r>
    </w:p>
    <w:p>
      <w:r>
        <w:t>En l'espèce, il ne saurait être reproché à l'intéressée, comme le fait l'autorité de première instance, d'avoir présenté des versions similaires, portant sur des éléments essentiels, et d'avoir appris son récit par coeur. Toutefois, le Tribunal, s'il ne partage ainsi pas en tous points l'appréciation du SEM, sous l'angle de l'absence de vraisemblance des motifs de protection, estime toutefois que l'intéressée n'a pas établi la crédibilité et le sérieux de ceux-ci.</w:t>
      </w:r>
    </w:p>
    <w:p>
      <w:r>
        <w:rPr>
          <w:b/>
        </w:rPr>
        <w:t>E. 3.3</w:t>
      </w:r>
    </w:p>
    <w:p>
      <w:r>
        <w:t>En effet, les autorités, quels qu'en soient les raisons, se seraient assurées du décès de l'intéressée, lors de l'agression sexuelle dont elle aurait prétendument été la victime, le 2 juin 2017. La recourante, prétendument persécutée par les autorités, ne se serait pas rendue à trois reprises dans des postes de police pour déposer plainte, la dernière fois le jour de son départ pour la Suisse, si elle avait eu de telles craintes. Un tel comportement ne correspond manifestement pas à celui d'une personne persécutée pour les motifs allégués. De surcroît, l'intéressée aurait été appréhendée, notamment lors de sa première tentative de dépôt de plainte, ayant à cette occasion rencontré deux de ses agresseurs. Il n'est pas non plus crédible qu'elle ait été laissée libre de s'en aller de chaque poste de police où elle se serait rendue, ni qu'elle n'ait pas été arrêtée à son domicile, d'où elle ne serait partie qu'après la fusillade du 1er juillet 2017 pour aller chez son beau-frère. La recourante n'aurait pas non plus pu sortir vivante des tirs à son domicile, le 1er juillet 2017, de la manière décrite, soit en se cachant sous le lit avec ses enfants. Là encore, il ne fait aucun doute que les autorités auraient pénétré dans la maison et l'auraient fouillée pour s'assurer de la réussite de leur opération. En outre, la police, intervenue rapidement sur place, aurait immédiatement appréhendée l'intéressée, ce d'autant plus qu'un de ses agresseurs aurait été présent et qu'elle aurait ultérieurement été recherchée dans le voisinage (cf. le recours, p. 8). N'est pas non plus crédible qu'elle n'ait pas fait l'objet de recherches au domicile de son beau-frère Ramadhan, chez lequel elle s'était réfugiée depuis la fusillade jusqu'à son départ du pays, le 28 juillet 2017. En effet, les autorités s'y seraient rendues immédiatement et n'aurait pas attendu son départ du pays pour s'y rendre et interroger le beau-frère, qui se serait ensuite prétendument mis à l'abri au village. Enfin, recherchée, la recourante n'aurait pas pris le risque de fuir son pays par l'aéroport de N._______, muni de son passeport, si elle avait été interdite de sortie (cf. l'article du journal « O._______ » du [...] 2018).</w:t>
      </w:r>
    </w:p>
    <w:p>
      <w:r>
        <w:rPr>
          <w:b/>
        </w:rPr>
        <w:t>E. 3.4</w:t>
      </w:r>
    </w:p>
    <w:p>
      <w:r>
        <w:t>Pour les mêmes raisons, la recourante n'a pas non plus rendu crédibles ses craintes d'être tuée parce qu'elle connaissait le lieu où se trouvait des documents en lien avec le génocide de musulmans en 1979. Si tel avait été le cas, elle n'aurait pas émis des hypothèses sur ce point (cf. notamment le recours p. 31 in fine ; cf. toutefois, le recours, p. 8 in fine). En effet, il ne fait aucun doute que les autorités les lui auraient préalablement réclamés. En outre, celles-ci n'auraient pas exigé de la recourante, qui n'était pas née lors du génocide de 1979 et presque 40 ans après, la restitution de documents. Elles les auraient demandés à sa mère, (fonction), laquelle aurait du reste été appréhendée durant toutes ces années. De surcroît, celle-ci n'aurait pu obtenir la libération de deux enfants de l'intéressée, le 13 mai 2018, sans leur remettre les documents qu'ils auraient recherchés.</w:t>
      </w:r>
    </w:p>
    <w:p>
      <w:r>
        <w:rPr>
          <w:b/>
        </w:rPr>
        <w:t>E. 3.5</w:t>
      </w:r>
    </w:p>
    <w:p>
      <w:r>
        <w:t>S'agissant des moyens de preuve produits, ils ne sont pas aptes à démontrer les motifs d'asile allégués plus haut. Notamment, les avis de décès de Ramadhan et de disparition de J._______ ne sauraient démontrer que leur mort respective l'a été dans les circonstances décrites. Dans la mesure où les allégations de la recourante ne sont pas vraisemblables, aucun crédit ne saurait être attribué au papier manuscrit portant l'en-tête « Old N._______ Pt Stn », aux messages de menace de mort sur le téléphone de l'intéressée, ou encore à l'article de journal mentionnant que l'intéressée est recherchée et sollicitant des renseignements de la population pour la retrouver. Au demeurant, le papier manuscrit, qui ne comporte aucun numéro de référence (cf. le recours, p. 34), mais de toute évidence une date (« 27/28/07/2017 »), ne mentionne pas les raisons pour lesquelles l'intéressée serait recherchée. Il n'est de surcroît pas rédigé sur papier officiel, mais sur papier blanc au format irrégulier et inhabituel (environ 9cm sur 7cm). En outre, l'article du journal « O._______ » fait exclusivement état du fait que l'intéressée est recherchée pour être entendue au sujet de fichiers disparus dans le cadre de son activité professionnelle au sein du gouvernement. Or, comme l'a relevé l'enquête de l'Ambassade de Suisse à Nairobi, dont la fiabilité ne peut en l'espèce être valablement remise en cause, la recourante n'a jamais travaillé auprès de la municipalité de P._______. Surtout, elle n'a jamais allégué avoir été persécutée par les autorités de son pays en raison de documents obtenus grâce à un emploi dans l'administration. N'est pas non plus vraisemblable le fait que les autorités aient procédé à la publication d'un article de presse dans le journal « O._______ » du (...) 2018 (cf. les explications de la recourante à la p. 36, par. 5, de son recours), soit une année après les événements prétendument à l'origine du départ de l'intéressée d'Ouganda, procédé permettant d'exclure à coup sûr son retour, son départ muni de son passeport de l'aéroport de N._______ ne pouvant être ignoré des autorités. Par ailleurs, dites autorités n'auraient pas omis de signer l'article en question, en y faisant apposer ses coordonnées. De plus, les sources consultées font apparaître que des personnes, dont les biens ont été détruits, pillés ou occupés illégalement, ont été répertoriées et publiées sur des listes. En outre, une commission d'enquête a été constituée en 2016 pour identifier les victimes et les dédommager. Le SEM n'avait donc pas à procéder à des vérifications complémentaires, comme soutenu dans le recours, pour vérifier l'authenticité des documents produits, en particulier celui manuscrit.</w:t>
      </w:r>
    </w:p>
    <w:p>
      <w:r>
        <w:rPr>
          <w:b/>
        </w:rPr>
        <w:t>E. 3.6</w:t>
      </w:r>
    </w:p>
    <w:p>
      <w:r>
        <w:t>Au vu de ce qui précède, les éléments plaidant pour l'absence de vraisemblance l'emportent clairement sur ceux qui parlent en faveur de la vraisemblance des allégués de la recourante. Ceux-ci ne remplissent ainsi pas les exigences de haute probabilité prévues par l'art. 7 LAsi, la recourante ne peut, partant, se prévaloir d'une crainte fondée, au sens de l'art. 3 LAsi, de subir de sérieux préjudices en cas de retour dans son pays d'origine, en raison de motifs antérieurs à son départ d'Ouganda.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L'assistance judiciaire ayant été accordée, il n'y a pas lieu de percevoir de frais (art. 65 al. 1 PA).</w:t>
      </w:r>
    </w:p>
    <w:p>
      <w:r>
        <w:rPr>
          <w:b/>
        </w:rPr>
        <w:t>E. 5.2</w:t>
      </w:r>
    </w:p>
    <w:p>
      <w:r>
        <w:t>Eu égard au décompte de prestations du 16 avril 2019 (cf. art. 14 al. 1 FITAF), l'indemnité due à la mandataire d'office, pour les frais nécessaires liés à la défense des intérêts de la recourante, est arrêtée à 2'000 francs, au vu du recours, dont plusieurs parties n'étaient pas utiles à la cause (en particulier les p. 15 à 25), et en tenant compte du fait que la mandataire représentait déjà l'intéressée devant le SEM et connaissait ainsi son dossier. Les honoraires ne comprennent aucun supplément TVA au sens de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