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D-1931/2011 vom 16. August 2011</w:t>
      </w:r>
    </w:p>
    <w:p>
      <w:r>
        <w:t>Bundesverwaltungsgericht, 2011-08-16, DE</w:t>
      </w:r>
    </w:p>
    <w:p>
      <w:r>
        <w:rPr>
          <w:b/>
        </w:rPr>
        <w:t xml:space="preserve">Quelle: </w:t>
      </w:r>
      <w:r>
        <w:t>https://mcp.opencaselaw.ch/entscheid/bvger_D-1931_2011</w:t>
      </w:r>
    </w:p>
    <w:p>
      <w:r>
        <w:t>FR: TAF D-1931/2011 du 16 août 2011</w:t>
      </w:r>
    </w:p>
    <w:p>
      <w:r>
        <w:t>IT: TAF D-1931/2011 del 16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 beziehungsweise Beschwerdeverbesserung vom 30. März beziehungsweise 12. April 2011 lässt der Beschwerdeführer im Wesentlichen geltend machen, seine Muttersprache sei Baluchi. An den Befragungen im BFM sei jedoch ein urdusprachiger Übersetzer zugegen gewesen. Der Beschwerdeführer habe nicht alles genau verstanden und deshalb nicht alles gesagt, was von Bedeutung gewesen wäre. Aus diesem Grunde seien auch viele Details nicht protokolliert worden. Die meisten von der Vorinstanz angeführten Aussagemängel seien zweifellos auf diese Umstände zurückzuführen. Der Beschwerdeführer habe selbstverständlich Anspruch auf eine Befragung in seiner Muttersprache und nicht in einer Sprache (Urdu), die er nur ungenügend verstehe. Des Weiteren seien die unsubstanziierten Angaben des Beschwerdeführers zum Attentat verständlich, sei dieser doch nicht Augenzeuge dieses Vorfalls gewesen und könne nur vom Hörensagen berichten. Auch seine etwas knappen und ungenauen Angaben über die allgemeinen Lebensumstände in Pakistan und Iran könnten seine Glaubwürdigkeit nicht ernsthaft tangieren. Diese Fragen beträfen nämlich hauptsächlich geographische Gegebenheiten. Diese seien angesichts der konkreten Lebensumstände und der fehlenden Schulbildung des Beschwerdeführers generell nicht geeignet, seine Glaubwürdigkeit zu überprüfen. Dementsprechend genügten die Angaben des Beschwerdeführers - wenn auch knapp - den Anforderungen an die Glaubhaftigkeit gemäss Art. 7 AsylG. Schliesslich verfüge der Beschwerdeführer entgegen den Behauptungen der Vorinstanz nicht über ein funktionsfähiges Beziehungsnetz in seiner ursprünglichen Heimat. Er wisse nichts über den Verbleib seiner Familie. Andere Bezugspersonen seien nicht vorhanden. Dementsprechend werde der Beschwerdeführer im Falle einer Rückkehr in den Heimatstaat aus individuellen Gründen in eine existenzbedrohende Situation geraten, weshalb der Wegweisungsvollzug unzumutbar sei.</w:t>
      </w:r>
    </w:p>
    <w:p>
      <w:r>
        <w:rPr>
          <w:b/>
        </w:rPr>
        <w:t>E. 5.2</w:t>
      </w:r>
    </w:p>
    <w:p>
      <w:r>
        <w:t>Diese Vorbringen in der Beschwerdeschrift vermögen nicht zu überzeugen. Wie sich nämlich aus den Akten ergibt, erklärte der Beschwerdeführer anlässlich der BzP, er spreche fliessend Urdu, und seine diesbezüglichen Sprachkenntnisse seien ausreichend für eine Anhörung (A1/12 Ziff. 9 S. 4). Dies bestätigte sich anlässlich der Befragungen auch aus der Sicht des Beschwerdeführers, erklärte er doch mehrfach ausdrücklich, er verstehe den Dolmetscher gut (A1/12 Ziff. 3 S. 2, Ziff. 23 S. 10, A13/13 F2 S. 2, F103 S. 11). Ausserdem bestätigte er nach der Rückübersetzung des Protokolls der BzP, dieses entspreche seinen Aussagen und der Wahrheit. Es sei ihm in eine ihm verständliche Sprache (Urdu) rückübersetzt worden (A1/12 S. 10). Anlässlich der Direktanhörung vom 27. Januar 2009 bestätigte er, das Protokoll dieser Anhörung sei ihm Satz für Satz vorgelesen und in eine ihm verständliche Sprache (Urdu) übersetzt worden. Es sei vollständig und entspreche seinen freien Äusserungen (A13/13 S. 12). Ausserdem habe er alles gesagt, was er habe sagen wollen A13/13 F104 S. 11). Dementsprechend ist entgegen den Vorbringen in der Beschwerdeschrift nicht davon auszugehen, der Beschwerdeführer habe nicht alles genau verstanden und deshalb auch nicht alles gesagt, was von Bedeutung gewesen sei. Vielmehr muss sich der Beschwerdeführer bei seinen Erklärungen, wie sie in die Protokolle Eingang fanden, behaften lassen. Dies umso mehr, als die angeblichen Verständigungsprobleme nicht einmal dem Hilfswerkvertreter aufgefallen sind. Demnach muss sich der Beschwerdeführer auch bei seinen widersprüchlichen und unsubstanziierten Aussagen behaften lassen. Es trifft zwar zu, dass seine Schilderungen zu einem Ereignis, das er lediglich vom Hörensagen kennt, nicht mit denjenigen eines Augenzeugen verglichen werden können. Allerdings hat die Vorinstanz dem Beschwerdeführer auch nichts dergleichen vorgehalten, sondern lediglich festgestellt, er habe weder über den Angriff der Armee auf das Dorf (A13/13 F62 S. 8) beziehungsweise die Razzien in seinem Haus und Geschäft (A1/12 Ziff. 15 S. 7) noch über den Zeitpunkt des Vorfalls präzise Angaben machen können. Bezeichnenderweise war er nämlich ausserstande, präzise Angaben darüber zu machen, wer ihn in Mand über den Vorfall in Kenntnis gesetzt habe und welche Informationen er bei dieser Gelegenheit erhalten habe (A13/13 F61 - F65 S. 7 und 8). Doch obwohl der Beschwerdeführer über das angeblich fluchtauslösende Ereignis auch nach eigenem Bekunden faktisch nichts weiss (vgl. a.a.O. F64 S. 8), will er sich im Hinblick auf seine eigene Sicherheit veranlasst gesehen haben, die Reise nach Europa anzutreten. Derartige Schilderungen vermitteln zwangsläufig einen wirklichkeitsfremden Eindruck. Dieser erstreckt sich insbesondere auch auf seine Angaben zu seinen Aufenthaltsorten in Pakistan und im Iran. Auch ein Analphabet ist nämlich grundsätzlich in der Lage, die Dörfer in der Umgebung seines Heimatdorfs aufzuzählen, ist doch derlei Kenntnis nicht abhängig von einer schulischen Ausbildung. Dies gilt umso mehr, als der Beschwerdeführer als Einkäufer unterwegs gewesen sein will. Angesichts seiner Vorbringen drängt sich der Eindruck auf, der Beschwerdeführer habe gar nicht in den von ihm bezeichneten Ortschaften gelebt und des Weiteren bei seiner Schilderung der geltend gemachten Verfolgungssituation nicht auf Erinnerungen an tatsächliche Begebenheiten zurückgreifen können, sondern eine Verfolgungssituation lediglich erfunden.</w:t>
      </w:r>
    </w:p>
    <w:p>
      <w:r>
        <w:rPr>
          <w:b/>
        </w:rPr>
        <w:t>E. 5.3</w:t>
      </w:r>
    </w:p>
    <w:p>
      <w:r>
        <w:t>Bei dieser Sachlage erübrigt es sich, auf weitere Vorbringen in der Beschwerdeschrift oder die eingereichten Beweismittel näher einzugehen, dies umso mehr, als die zahlreichen Berichte keinen direkten Bezug zum Beschwerdeführer haben. Desgleichen erübrigt es sich, den vorinstanzlichen Entscheid zu kassieren und zu neuem Entscheid an die Vorinstanz zurückzuweisen. Stattdessen ist zusammenfassend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Pakistan herrscht zur Zeit weder Krieg, Bürgerkrieg noch liegt eine Situation allgemeiner Gewalt vor. Zu prüfen ist indessen, ob anderweitige Probleme des Beschwerdeführers allenfalls individuelle Gründe darstellen, welche gegen die Zumutbarkeit des Wegweisungsvollzugs sprechen. Es sind auch keine individuellen Gründe ersichtlich, welche die Rückkehr des den Akten zufolge nach wie vor jungen und gesunden Beschwerdeführers als unzumutbar erscheinen lassen würden. In den Akten finden sich keine konkreten Anhaltspunkte dafür, dass er aus individuellen Gründen wirtschaftlicher oder sozialer Natur in eine existenzbedrohende Situation geraten würde. Vielmehr ist den Akten sinngemäss zu entnehmen, die Familie lebe in guten wirtschaftlichen Verhältnissen, sind die Familienangehörigen doch als Geschäftsleute erwerbstätig (A13/13 F31 - 32 S. 5). Ausserdem verfügt er im Heimatstaat über zahlreiche Verwandte (A1/12 Ziff. 12 S. 4), wenngleich er vorgibt, über deren Aufenthaltsort nichts zu wissen. Da seine Angaben zu den geographischen Verhältnissen bezüglich seines Wohnsitzes widersprüchlich und unsubstanziiert ausfielen, ist in casu davon auszugehen, er dissimuliere das in Wirklichkeit vorhandene und ausreichende soziale Netz. Dementsprechend ist davon auszugehen, der Beschwerdeführer könne im Heimatstaat weiterhin als Einkäufer beziehungsweise Kaufmann einer Erwerbstätigkeit nachgehen.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19. April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