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D-1930/2009 vom 5. Mai 2009</w:t>
      </w:r>
    </w:p>
    <w:p>
      <w:r>
        <w:t>Bundesverwaltungsgericht, 2009-05-05, DE</w:t>
      </w:r>
    </w:p>
    <w:p>
      <w:r>
        <w:rPr>
          <w:b/>
        </w:rPr>
        <w:t xml:space="preserve">Quelle: </w:t>
      </w:r>
      <w:r>
        <w:t>https://mcp.opencaselaw.ch/entscheid/bvger_D-1930_2009</w:t>
      </w:r>
    </w:p>
    <w:p>
      <w:r>
        <w:t>FR: TAF D-1930/2009 du 5 mai 2009</w:t>
      </w:r>
    </w:p>
    <w:p>
      <w:r>
        <w:t>IT: TAF D-1930/2009 del 5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WALTER STÖCKLI in UEBERSAX/RUDIN/HUGI YAR/GEISER, Ausländerrecht, 2. Aufl., Basel 2009, § 11 Asyl, S. 542. f., MINH SON NGUYEN, Droit public des étrangers, Bern 2003, S. 448 ff.; Entscheidungen und Mitteilungen der Schweizerischen Asylrekurskommission [EMARK] 2006 Nr. 1 E. 6.1. S. 10, und EMARK 1995 Nr. 7 E. 7b und 8 S. 67 und 70,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w:t>
      </w:r>
    </w:p>
    <w:p>
      <w:r>
        <w:rPr>
          <w:b/>
        </w:rPr>
        <w:t>E. 5.1</w:t>
      </w:r>
    </w:p>
    <w:p>
      <w:r>
        <w:t>Die Beschwerdeführerin lässt in der Beschwerdeschrift zunächst ausführen, die Vorinstanz unterliege einem Zirkelschluss, wenn sie aus der Tatsache, dass die Beschwerdeführerin zu einem früheren Zeitpunkt (d.h. vor ihrer Ausreise) möglicherweise durch die äthiopischen Behörden nicht registriert worden sei, schliesse, dass sie aufgrund ihrer Aktivitäten im Exil nicht wahrgenommen und entsprechend registriert werde. Entgegen der Einschätzung des BFM würden auch Aktivitäten von einfachen Mitgliedern der CUDP beobachtet und in den Datenbanken des äthiopischen Regimes registriert. Bereits die dokumentierten exilpolitischen Aktivitäten müssten zur Vermutung führen, dass die äthiopischen Behörden diese zur Kenntnis genommen hätten. Die Ausstellung eines Laisser-Passer würde es erst ermöglichen, eine Bestrafung der Beschwerdeführerin in Äthiopien vorzunehmen, weshalb darin kein Indiz dafür zu sehen sei, dass die äthiopischen Behörden keine Kenntnis von den Aktivitäten der Beschwerdeführerin habe. Zu Unrecht sei die Vorinstanz im Weiteren davon ausgegangen, die Angaben der Beschwerdeführerin zu erhaltenen Drohanrufen seien unglaubhaft. Dass die Drohanrufe im zweiten Asylgesuch nicht erwähnt worden seien, dürfe nicht als Unglaubwürdigkeitselement berücksichtigt werden, habe die Beschwerdeführerin doch gewusst, dass sie ihre Asylgründe anlässlich der Anhörung ausführlich werde darlegen können. Es sei sodann völlig überspitzt und verletze das im Asylverfahren verlangte Beweismass, wenn die Vorinstanz voraussetze, die Beschwerdeführerin müsse in der Lage sein, die genaue Anzahl der Anrufe, den Zeitpunkt und den genauen Wortlaut derselben zu nennen. Die Beschwerdeführerin habe - entgegen der vorinstanzlichen Ausführungen - den ungefähren Inhalt der Gespräche und ihre Reaktion darauf geschildert. Die Beschwerdeführerin lasse sich sodann sowohl auf den eingereichten Fotos als auch als Verfasserin der Internetartikel identifizieren. Dass sie sich bei der Bedienung des Computers habe helfen lassen, könne keine Rolle spielen. Zudem habe die Beschwerdeführerin entgegen der Behauptung des BFM klar und unmissverständlich ausgeführt, dass sie die benötigten Informationen aus verschiedenen amharischen Zeitschriften beziehe. Im Weiteren stelle das Bundesamt in unzulässiger Weise die Motivation der Beschwerdeführerin für ihr exilpolitisches Engagement in Frage.</w:t>
      </w:r>
    </w:p>
    <w:p>
      <w:r>
        <w:rPr>
          <w:b/>
        </w:rPr>
        <w:t>E. 5.2</w:t>
      </w:r>
    </w:p>
    <w:p>
      <w:r>
        <w:t>Gemäss Erkenntnissen des Bundesverwaltungsgerichts (vgl. Urteile D-3511/2008 vom 24. Oktober 2008, D-5305/2008 vom 17. Oktober 2008, D-2401/2008 vom 6. Oktober 2008, D-2332/2008 vom 9. September 2008 und D-4943/2006 vom 8. Juli 2008) ist zwar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Auslandsaktivitäten von Personen, welche erkennbar in der KINIJIT/CUDP aktiv waren und/oder sind oder auch nur mit ihr sympathisieren und individuell identifiziert werden könnten, im Falle einer Zwangsrückschaffung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Angesichts der 2007 in Äthiopien erfolgten Amnestie von einigen Mitgliedern der KINIJIT/CUDP und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der Beschwerdeführerin sowie deren konkrete exilpolitische Tätigkeit. Ein exponierter exilpolitischer Einsatz der Beschwerdeführerin, der sie ins Zentrum des Interesses des äthiopischen Nachrichtendienstes rücken könnte, ist aufgrund der vorliegenden Akten zu verneinen. In diesem Zusammenhang ist festzuhalten, dass bei behaupteten subjektiven Nachfluchtgründen in der Regel ein strikter Beweis möglich und deshalb auch erforderlich ist (vgl. Walter Stöckli, a.a.O., S. 568 Rz. 11.148). Das BFM führt denn auch in in der angefochtenen Verfügung zu Recht aus, dass die äthiopischen Behörden nur dann ein Interesse an der Identifizierung einer Person haben, wenn deren Aktivitäten als konkrete Bedrohung für das politische System wahrgenommen werden. Für die Annahme, die Beschwerdeführerin habe sich in dieser besonderen Art und Weise betätigt, bestünden keine Anhaltspunkte. Sie gehöre mit Sicherheit nicht zur Zielgruppe des "harten Kerns" von aktiven oppositionellen Äthiopiern im Ausland, für die sich die äthiopischen Behörden interessierten. Dieser Beurteilung schliesst sich das Bundesverwaltungsgericht an. Dabei hat das Bundesamt - entgegen der in der Beschwerdeschrift geäusserten Ansicht - zu Recht darauf hingewiesen, dass die Beschwerdeführerin in ihrem Heimatland nach eigenen Angaben nicht politisch aktiv war, weshalb nicht davon ausgegangen werden kann, dass sie seit ihrer Einreise in die Schweiz unter spezieller Beobachtung gestanden wäre. Vorliegend ist aus den Angaben der Beschwerdeführerin zu schliessen, dass sich ihre exilpolitischen Aktivitäten lediglich in der Teilnahme an Protestveranstaltungen beziehungsweise Demonstrationen und Parteiversammlungen, im Verfassen regimekritischer Artikel (einschliesslich eines Briefes an Meles Zenawi) und im (allerdings unbelegt gebliebenen) Verteilen von Flugblättern ohne weitergehende hochrangige Tätigkeiten erschöpft haben. In Berücksichtigung dieses geringfügigen Engagements ist jedoch in casu nicht davon auszugehen, dass die Beschwerdeführerin bei einer Rückkehr in ihr Heimatland eine asylrechtlich relevante Gefährdung zu befürchten hat, zumal auch grosse Zweifel daran bestehen, dass die Beschwerdeführerin die Internetartikel selbst verfasst hat. Im Ergebnis ist im Weiteren mit der Vorinstanz von der Unglaubhaftigkeit der geltend gemachten Bedrohungen der Beschwerdeführerin auszugehen. Zwar trifft es nicht zu, dass die Drohungen im schriftlichen zweiten Asylgesuch nicht bereits erwähnt worden wären (vgl. B1/11 S. 3 Bst. A.a). Solche Drohungen stellen jedoch - gerade in der Situation der Beschwerdeführerin als abgewiesene Asylsuchende - einschneidende Erlebnisse dar. Es kann erwartet werden, dass sich solche dem Bedrohten besonders einprägen. Die Schilderungen der Beschwerdeführerin (vgl. B8/12 S. 8 f.) erwecken jedoch nicht den Eindruck, sie habe solche Bedrohungen selbst erlebt. Ihre Angaben sind vielmehr als ausweichend und vage zu bezeichnen. Es dürfte sodann den äthiopischen Behörden aufgefallen sein, wie die Vorinstanz zu Recht bemerkt, dass die exilpolitische Betätigung vieler äthiopischer Asylsuchender nach der Ablehnung ihrer Asylgesuche regelmässig zunimmt respektive intensiver wird oder überhaupt erst ab diesem Zeitpunkt einsetzt, was das geltend gemachte politische Engagement als zweifelhaft erscheinen lässt. So ist auch im vorliegenden Verfahren aktenkundig, dass die Beschwerdeführerin erst in der Schweiz und nach der erstinstanzlichen Ablehnung ihres Asylgesuchs begonnen hat, sich politisch zu betätigen. Die diesbezüglich von der Beschwerdeführerin geäusserte Kritik ändert daran nichts. Es geht bei dieser Argumentation nicht darum, die innere (politische) Gesinnung eines Asylsuchenden herabzusetzen oder auch nur auszuleuchten, vielmehr erschöpft sich der Prüfungsumfang der Asylbehörden darin, die gegen aussen manifestierte, aus Sicht der äthiopischen Behörden als potenziell gefährlich zu wertende Oppositionstätigkeit der in Frage stehenden Person zu beurteilen. Schliesslich fehlen vorliegend jegliche Hinweise darauf, dass gegen die Beschwerdeführerin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beschwerdeführenden Person abklären zu müssen. Insgesamt erscheint es angesichts der Art des Engagements der Beschwerdeführerin - selbst unter der Annahme der möglichen und tatsächlichen Identifikation und allfälligen Registrierung der Beschwerdeführerin - als unwahrscheinlich, dass sie deswegen bei einer Rückkehr nach Äthiopien eine flüchtlingsrechtlich relevante Verfolgung zu gewärtigen hätte. Sie hat bei keiner Organisation, für die sie sympathisiert oder deren Mitglied sie geworden ist, eine Führungsposition inne und übernahm weder Verantwortung noch besonders wichtige Aufgaben. Ihr exilpolitisches Engagement in der Schweiz lässt sie somit nicht als besonders engagierte und exponierte oder gar staatsgefährdende exilpolitische Aktivistin erscheinen. Vielmehr erweckt sie den Eindruck einer Mitläuferin ohne eigentliche politische oder ideologische Überzeugung. Die Beschwerdeführerin erfüllt damit nicht das Profil einer Person, welche dem äthiopischen Regime durch ihre (exil-)politische Tätigkeit ernsthaften Schaden zufügen könnte. Demnach ist die Flüchtlingseigenschaft der Beschwerdeführerin mangels subjektiver Nachfluchtgründe gemäss Art. 54 AsylG zu verneinen.</w:t>
      </w:r>
    </w:p>
    <w:p>
      <w:r>
        <w:rPr>
          <w:b/>
        </w:rPr>
        <w:t>E. 5.3</w:t>
      </w:r>
    </w:p>
    <w:p>
      <w:r>
        <w:t>Bei dieser Sachlage erübrigt es sich, auf die einzelnen Argumente in den bereits erwähnten Eingaben und die als Beweismittel eingereichten Dokumente näher einzugehen, zumal diese insgesamt nicht zu einem anderen Entscheid zu führen vermögen. Ebenso kann von der beantragten amtlichen Übersetzung der fremdsprachigen Dokumente abgesehen werden. Wie nachfolgend aufgezeigt wird, vermag an dieser Einschätzung auch der von der Beschwerdeführerin gemachte Hinweis auf andere Verfahren (beispielsweise N 434 849 und N 432 540), in denen das BFM äthiopischen Asylsuchenden aufgrund exilpolitischer Aktivitäten die Flüchtlingseigenschaft zuerkannt habe, nichts zu ändern. Mit dem Argument, die Vorinstanz habe in den genannten Verfahren und anderen gleich gelagerten Entscheiden die Flüchtlingseigenschaft aufgrund subjektiver Nachfluchtgründe bejaht, macht die Beschwerdeführerin sinngemäss eine Verletzung des Gleichbehandlungsgebots geltend. Der verfassungsrechtliche Gleichbehandlungsgrundsatz (Art. 8 Abs. 1 der Bundesverfassung der Schweizerischen Eidgenossenschaft vom 18. April 1999 [BV, SR 101]) gebietet in der Rechtsanwendung, zwei tatsächlich gleiche Situationen nicht ohne sachlichen Grund unterschiedlich zu behandeln (vgl. Pierre Tschannen/Ulrich Zimmerli/Regina Kiener, Allgemeines Verwaltungsrecht, Bern 2002, S. 120 f.). Die gleiche Behörde darf nicht ohne sachlichen Grund zwei rechtlich gleiche Sachverhalte unterschiedlich beurteilen. Nicht erforderlich ist, dass die Sachverhalte in all ihren tatsächlichen Elementen identisch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Unter diesem Blickwinkel ist die Praxis der Vorinstanz nicht in Stein gemeisselt. Vielmehr ist im Verlaufe der Zeit veränderten Umständen beziehungsweise neuen Erkenntnissen Rechnung zu tragen, weshalb in casu die gegenüber dem Asylverfahren N 434 849 beziehungsweise N 432 540 veränderte Beurteilung nicht zu beanstanden ist, wobei offenbleiben kann, ob die beiden Sachverhalte tatsächlich gleich im Rechtssinne sind.</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Dies ist ihr unter Hinweis auf die vorstehenden Ausführungen zur Flüchtlingseigenschaft nicht gelungen. Auch die allgemeine Menschenrechtssituation im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Äthiopien herrscht zurzeit keine Situation allgemeiner Gewalt, weshalb in konstanter Praxis von der generellen Zumutbarkeit des Wegweisungsvollzugs nach Äthiopien ausgegangen wird (vgl. Urteile des Bundesverwaltungsgerichts D-5263/2008 vom 10. März 2009, D-4943 vom 8. Juli 2008; E-113/2008 vom 26. Mai 2008; EMARK 1998 Nr. 22). Nach der Unterzeichnung des Friedensabkommens zwischen Äthiopien und Eritrea am 12. Dezember 2000 kontrollierten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Aufgrund der allgemeinen Lage in Äthiopien kann somit nicht von einer konkreten Gefährdung der Beschwerdeführerin ausgegangen werden.</w:t>
      </w:r>
    </w:p>
    <w:p>
      <w:r>
        <w:rPr>
          <w:b/>
        </w:rPr>
        <w:t>E. 7.4.2</w:t>
      </w:r>
    </w:p>
    <w:p>
      <w:r>
        <w:t>In den Akten finden sich auch keine konkreten Anhaltspunkte dafür, dass die Beschwerdeführerin in ihrer Heimat aus individuellen Gründen wirtschaftlich, sozialer oder gesundheitlicher Natur in eine existenzbedrohende Situation geraten würde. Es ist ihr zuzumuten, sich erneut in ihrem Kulturkreis niederzulassen und dort eine Existenz aufzubauen. Dabei ist es entgegen der Darstellung in der Beschwerdeschrift durchaus naheliegend, dass die Beschwerdeführerin von ihrer in der Schweiz mit einem hier niedergelassenen, äthiopischen Staatsangehörigen verheirateten (...) eine gewisse (finanzielle) Unterstützung erwarten kann. 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Sie sind mit dem am 8. April 2009 in gleicher Höhe geleisteten 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