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D-1928/2011 vom 21. Juli 2011</w:t>
      </w:r>
    </w:p>
    <w:p>
      <w:r>
        <w:t>Bundesverwaltungsgericht, 2011-07-21, DE</w:t>
      </w:r>
    </w:p>
    <w:p>
      <w:r>
        <w:rPr>
          <w:b/>
        </w:rPr>
        <w:t xml:space="preserve">Quelle: </w:t>
      </w:r>
      <w:r>
        <w:t>https://mcp.opencaselaw.ch/entscheid/bvger_D-1928_2011</w:t>
      </w:r>
    </w:p>
    <w:p>
      <w:r>
        <w:t>FR: TAF D-1928/2011 du 21 juillet 2011</w:t>
      </w:r>
    </w:p>
    <w:p>
      <w:r>
        <w:t>IT: TAF D-1928/2011 del 21 luglio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Ziffern 1 und 2 des Dispositivs der vorinstanzlichen Verfügung sind in Rechtskraft erwachsen, zumal sich die Beschwerde ausdrücklich nur gegen den Vollzug der Wegweisung richtet. Betreffend das Nichteintreten und die angeordnete Wegweisung wird weder ein konkreter Antrag gestellt, noch lässt sich ein solcher sinngemäss aus der Begründung ableiten. Es ist deshalb zu prüfen, ob die Vorinstanz den Vollzug der Wegweisung zu Recht angeordnet hat.</w:t>
      </w:r>
    </w:p>
    <w:p>
      <w:r>
        <w:rPr>
          <w:b/>
        </w:rPr>
        <w:t>E. 3.2</w:t>
      </w:r>
    </w:p>
    <w:p>
      <w:r>
        <w:t>Gestützt auf Art. 111a Abs. 1 AsylG wurde vorliegend auf einen Schriftenwechsel verzichtet.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5.1</w:t>
      </w:r>
    </w:p>
    <w:p>
      <w:r>
        <w:t>Das BFM führte in der teilweise angefochtenen Verfügung aus, die im ersten Asylgesuch dargelegten Ausreisegründe seien vom BFM bereits in den Entscheiden vom 7. Mai 2008 und 15. Juli 2008 geprüft worden. Die vom Beschwerdeführer geltend gemachten Vorbringen, die im Zusammenhang mit dem Streit um das Haus und das Grundstück der Familie stünden, könnten nicht geglaubt werden, nachdem diese auf Vorbringen basierten, die bereits im ersten Asylverfahren als unglaubhaft eingeschätzt worden seien. Dies gelte umso mehr, als es zwischen den Vorbringen im ersten und zweiten Asylverfahren zu weiteren Widersprüchen gekommen sei. Die Angaben zu den Gründen für die erneute Ausreise aus Afghanistan seien in wesentlichen Teilen widersprüchlich, vage und oberflächlich ausgefallen. Der Beschwerdeführer habe angegeben, er habe nach seiner Rückkehr bei seinem Onkel mütterlicherseits gelebt, während er bei der Anhörung ausgesagt habe, er habe zuerst in einem Gästehaus und danach an seinem Arbeitsort gelebt. Zu seinen Verwandten habe er keinen Kontakt gehabt. Bei der Erstbefragung habe er gesagt, ein Freund namens B.______ habe ihm den Job bei der christlichen Organisation verschafft, während er bei der Anhörung angegeben habe, er habe die Stelle dank eines Freundes namens C._______ erhalten. Bei der Erstbefragung habe er gemeint, er habe nicht gewusst, dass die Organisation missionarisch tätig gewesen sei, während er bei der Anhörung gesagt habe, dies sei ihm von Anfang an klar gewesen; er habe mehrfach Taufen beigewohnt. Bei der Erstbefragung habe er gesagt, über die Organisation sei mehrmals im Fernsehen berichtet worden, während er bei der Anhörung gesagt habe, es habe nur einen Bericht gegeben. Bei der Erstbefragung habe er angegeben, zu wissen, dass er wegen des Fernsehberichts von Leuten, die ihn erkannt hätten, gesucht werde, während er dies bei der Anhörung nicht erwähnt habe. Ferner habe er abweichende Angaben zu den Namen der Priester sowie zum Vorhandensein naher Verwandter in Kabul gemacht. Ökonomische Probleme stellten schliesslich keine asylbeachtliche Verfolgung dar. Es ergäben sich keine Hinweise, dass nach dem Abschluss des ersten Asylverfahrens Ereignisse eingetreten seien, die geeignet seien, die Flüchtlingseigenschaft zu begründen, oder die für die Gewährung vorübergehenden Schutzes relevant seien. Die allgemeine Sicherheitslage in Afghanistan sei angespannt. Die aufständischen Kräfte hätten ihre Aktivitäten verstärkt und ihren Einfluss ausdehnen können. Die internationale Truppenpräsenz sei zahlenmässig zu schwach, um flächendeckend wirksam zu sein. Funktionierende staatliche Strukturen seien in vielen Regionen kaum entwickelt. Dennoch könne nicht von einer konkreten Gefährdung der gesamten Bevölkerung in Afghanistan oder von einer Situation allgemeiner Gewalt im Sinne von Art. 83 Abs. 4 AuG ausgegangen werden. Die Lage in den nördlichen Provinzen Parwan, Baghlan, Takhar, Badakshan, Balkh, Sari Pul sowie Kabul und der westlichen Provinz Herat sei als vergleichsweise sicher einzustufen. Da der Beschwerdeführer aus Kabul stamme, sei eine Wegweisung zumutbar. Er sei jung, arbeitsfähig und verfüge in Kabul über ein verwandtschaftliches Beziehungsnetz sowie über Berufserfahrung als Schneider und Bauarbeiter. Aufgrund seiner unglaubhaften Aussagen sei davon auszugehen, dass auch sein Vater und sein Bruder weiterhin in Kabul lebten.</w:t>
      </w:r>
    </w:p>
    <w:p>
      <w:r>
        <w:rPr>
          <w:b/>
        </w:rPr>
        <w:t>E. 5.2</w:t>
      </w:r>
    </w:p>
    <w:p>
      <w:r>
        <w:t>In der Beschwerde wird geltend gemacht, die Einschätzung des BFM, wonach der Wegweisungsvollzug nach Afghanistan zumutbar sei, werde nicht geteilt. Gemäss zahlreichen Berichten sei die Situation als generell unsicher einzuschätzen. Vieles deute darauf hin, dass sich die Situation seit dem Jahr 2006, als das Bundesverwaltungsgericht die sicheren und die unsicheren Provinzen Afghanistans bezeichnet habe, erheblich verschlechtert habe. Es werde auf den Bericht der Schweizerischen Flüchtlingshilfe (SFH) vom 26. Februar 2009 verwiesen, in dem der Vollzug der Wegweisung abgewiesener Asylsuchender nach Afghanistan für generell unzumutbar bezeichnet worden sei. Im neusten Update der SFH zur Sicherheitslage in Afghanistan vom August 2010 werde festgehalten, dass sich diese das fünfte Jahr in Folge verschlechtert habe. Es ergebe sich, dass der Vollzug der Wegweisung des Beschwerdeführers nach Kabul zum heutigen Zeitpunkt als unzulässig beziehungsweise unzumutbar erscheine.</w:t>
      </w:r>
    </w:p>
    <w:p>
      <w:r>
        <w:rPr>
          <w:b/>
        </w:rPr>
        <w:t>E. 6.1</w:t>
      </w:r>
    </w:p>
    <w:p>
      <w:r>
        <w:t>Die Vorinstanz wies in ihrer angefochtenen Verfügung zutreffend darauf hin, dass das Prinzip des flüchtlingsrechtlichen Non-Refoulement nur Personen schützt, die die Flüchtlingseigenschaft erfüllen. Da es dem Beschwerdeführer nicht gelungen ist, Hinweise im Sinne von Art. 32 Abs. 2 Bst. e AsylG vorzubringen,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als unglaubhaft gewerteten Vorbringen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In Bezug auf die allgemeine Lage in Afghanistan kann auf die vom Bundesverwaltungsgericht vorgenommene Einschätzung der Lage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6.2.2</w:t>
      </w:r>
    </w:p>
    <w:p>
      <w:r>
        <w:t>Der Beschwerdeführer stammt aus Kabul. Gemäss der soeben dargelegten Rechtsprechung des Bundesverwaltungsgerichts ist nicht von der generellen Unzumutbarkeit des Wegweisungsvollzugs dorthin auszugehen.</w:t>
      </w:r>
    </w:p>
    <w:p>
      <w:r>
        <w:rPr>
          <w:b/>
        </w:rPr>
        <w:t>E. 6.2.3</w:t>
      </w:r>
    </w:p>
    <w:p>
      <w:r>
        <w:t>Bei dieser Sachlage stellt sich die Frage, ob dem Beschwerdeführer eine Rückkehr nach Kabul aufgrund einer individuellen Prüfung der Verhältnisse zuzumuten ist. Die Bejahung der Zumutbarkeit einer Rückkehr nach Kabul setzt insbesondere die Existenz eines tragfähigen Beziehungsnetzes, die konkrete Möglichkeit der Sicherung des Existenzminimums sowie eine gesicherte Wohnsituation voraus (vgl. das zur Publikation vorgesehene Grundsatzurteil des Bundesverwaltungsgerichts E-7625/2008 vom 16. Juni 2011 E. 9.9.2 mit Verweis auf EMARK 2003 Nr. 10 E. 10 cc).</w:t>
      </w:r>
    </w:p>
    <w:p>
      <w:r>
        <w:rPr>
          <w:b/>
        </w:rPr>
        <w:t>E. 6.2.4</w:t>
      </w:r>
    </w:p>
    <w:p>
      <w:r>
        <w:t>Anlässlich der Anhörungen machte der junge Beschwerdeführer geltend, sein Vater befinde sich in Kabul im Gefängnis (act. C6/12 S. 3) beziehungsweise in Pakistan (act. C14/18 S. 4). Sein Bruder sei vor zirka sieben Jahren getötet worden (act. C14/18 S. 4). In Kabul lebten sein Onkel mütterlicherseits und entferntere Verwandte (act. C6/15 S. 3). Die Verfolgungsvorbringen des Beschwerdeführers sind vom BFM aufgrund verschiedener Widersprüche in seinen Aussagen als unglaubhaft gewertet worden. Das BFM stellte sich infolgedessen auf den Standpunkt, sein Bruder sei nicht getötet worden und sein Vater lebe weiterhin in Kabul. Das Bundesverwaltungsgericht stellt fest, dass die Aussagen des Beschwerdeführers zum Vorfall, bei dem sein Bruder ums Leben gekommen sein und sein Vater einen Menschen getötet haben soll, in der Tat zahlreiche Widersprüche und Ungereimtheiten enthalten. Mangels anderweitiger Anhaltspunkte ist daher davon auszugehen, dass sein Vater und sein Bruder sowie weitere engere und weitere Verwandte nach wie vor in Kabul leben, womit er dort über ein tragfähiges Beziehungsnetz verfügt, welches ihm bei der Reintegration in dieser Stadt behilflich sein wird. Insbesondere ist anzunehmen, dass er nach seiner Rückkehr nach Kabul bei Verwandten wohnen kann, bis er allenfalls eine eigene Wohnung gefunden hat, und dass seine Familie ihn bei der Suche nach einer Arbeitsstelle unterstützt. Eigenen Angaben zufolge verfügt er über Berufserfahrung als Schneider und Bauarbeiter (act. A1/9 S. 2). Er spricht Dari, seine Muttersprache, und verfügt über wenig Englisch- und Deutsch-Kenntnisse, weshalb davon auszugehen ist, er werde sich bei einer Rückkehr nach Afghanistan auch beruflich integrieren können. Die Rückkehrhilfe der Schweiz wird ihm den Wiedereinstieg in seine Heimat ebenfalls erleichtern (Art. 74 der Asylverordnung 2 vom 11. August 1999 [AsylV 2, SR 142.312]). Schliesslich ist darauf hinzuweisen, dass der Beschwerdeführer, der einen grossen Teil seines Lebens im Iran verbracht habe, dennoch mit der in Kabul gesprochenen Sprache, Kultur, Arbeits- und Lebensweise vertraut ist und entgegen seinen Angaben dort über ausreichende persönliche Beziehungen verfügt.</w:t>
      </w:r>
    </w:p>
    <w:p>
      <w:r>
        <w:rPr>
          <w:b/>
        </w:rPr>
        <w:t>E. 6.2.5</w:t>
      </w:r>
    </w:p>
    <w:p>
      <w:r>
        <w:t>Nach Berücksichtigung aller wesentlichen Entscheidungselemente erweist sich der Vollzug der Wegweisung des Beschwerdeführers nach Kabul als zumutbar.</w:t>
      </w:r>
    </w:p>
    <w:p>
      <w:r>
        <w:rPr>
          <w:b/>
        </w:rPr>
        <w:t>E. 6.3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Da aufgrund der Aktenlage von seiner Fürsorgeabhängigkeit auszugehen ist und sich die Beschwerde nicht als aussichtslos darstellte, sind ihm in Gutheissung des Gesuchs um Gewährung der unentgeltlichen Rechtspflege gemäss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