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D-1927/2019 vom 23. Mai 2019</w:t>
      </w:r>
    </w:p>
    <w:p>
      <w:r>
        <w:t>Bundesverwaltungsgericht, 2019-05-23, DE</w:t>
      </w:r>
    </w:p>
    <w:p>
      <w:r>
        <w:rPr>
          <w:b/>
        </w:rPr>
        <w:t xml:space="preserve">Quelle: </w:t>
      </w:r>
      <w:r>
        <w:t>https://mcp.opencaselaw.ch/entscheid/bvger_D-1927_2019</w:t>
      </w:r>
    </w:p>
    <w:p>
      <w:r>
        <w:t>FR: TAF D-1927/2019 du 23 mai 2019</w:t>
      </w:r>
    </w:p>
    <w:p>
      <w:r>
        <w:t>IT: TAF D-1927/2019 del 23 maggio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damit, dass er in C._______ geboren worden sei und dort gelebt habe, bis er aufgrund von Bedrohungen habe fliehen müssen. Während seiner Arbeit als (...) - er habe ein eigenes Geschäft geführt - habe er eine geschiedene Frau kennengelernt, mit welcher er ein Verhältnis angefangen habe. Es sei stets sie gewesen, welche sich bei ihm telefonisch oder per SMS gemeldet habe; er habe sie - ihren Aussagen zufolge wegen ihrer Familie - nie von sich aus kontaktieren dürfen. Am Abend des 8. Dezember 2018 habe er seine Freundin anrufen wollen, anstelle von ihr sei sein Anruf jedoch von einem ihm unbekannten Mann entgegengenommen worden, welcher ihn beschimpft habe. Darauf habe er, der Beschwerdeführer, das Telefonat beendet, worauf er von verschiedenen Telefonnummern aus erneut angerufen worden sei sowie zahlreiche Textnachrichten erhalten habe, in welchen ihm angedroht worden sei, es würde ihm dasselbe geschehen wie seiner Freundin. Er habe darauf umgehend seinen Bruder über diesen Vorfall informiert und ihm die erhaltenen Textnachrichten weitergeleitet, worauf dieser ihn angewiesen habe, sich sofort ins Dorf D._______ zu begeben. Er habe darauf von seinem Bruder erfahren, dass unbekannte Personen noch in der gleichen Nacht in sein Friseur-Geschäft gekommen seien, ihn gesucht und Gegenstände zerstört hätten. Am nächsten Tag sei sein Bruder, welcher für ihn die Ausreise organisiert habe, mit ihm nach E._______ gegangen, wo er für eine Nacht geblieben sei. Am 10. Dezember 2018 sei er dann über F._______ in die Türkei und danach in die Schweiz gereist.</w:t>
      </w:r>
    </w:p>
    <w:p>
      <w:r>
        <w:rPr>
          <w:b/>
        </w:rPr>
        <w:t>E. 5.2</w:t>
      </w:r>
    </w:p>
    <w:p>
      <w:r>
        <w:t>Das SEM begründete seine Verfügung damit, dass im Nordirak eine funktionierende Schutzinfrastruktur vorhanden sei und die dortigen Behörden, wenn sie von dem Vorfalls gewusst hätten, in der Lage gewesen wären, dem Beschwerdeführer Schutz vor den ihn bedrohenden Personen zu gewähren. Weshalb er sich nicht an die Behörden gewandt habe, sei nicht verständlich. Als Grund habe er in der Anhörung wiederholt angegeben, die Stammesjustiz im Nordirak sei stärker als die Macht der Behörden und es handle sich um ein gesellschaftliches Problem, bei welchem ihm die Behörden nicht behilflich sein könnten. Zwar werde das Rechts- und Justizsystem im Nordirak teilweise tatsächlich durch das traditionelle Stammesrecht konkurrenziert, dennoch könne davon ausgegangen werden, dass Streitigkeiten in der Regel gerichtlich beigelegt werden könnten. Die Motive für seine Bedrohung würden zudem nur auf Vermutungen beruhen, und es seien keine Anhaltspunkte für ihm effektiv drohende Konsequenzen vorhanden. Auf mehrfache Nachfrage habe der Beschwerdeführer schliesslich angegeben, es gebe eine Person, welche bei der Regierung bekannt sei und eine gute Position innehabe. Auch auf nähere Nachfrage habe er jedoch nichts Näheres zu dieser Person aussagen wollen, als dass diese bei der Polizei arbeite, Leiter einer Stelle sei und es sich um den Onkel mütterlicherseits seiner Freundin handle. Seine Annahme, dass diese Person grossen Einfluss auf die Behörden habe, stütze sich nur auf Mutmassungen, welche er lediglich mit Beiträgen über die Familie dieser Person in Sozialen Netzwerken begründet habe. Die späte Geltendmachung dieses Grundes und seine vagen Angaben dazu würden vermuten lassen, dass es sich dabei nicht um den effektiven Grund handle, weshalb er sich nicht an die Behörden gewandt habe. Entsprechend habe er selbst angegeben, dass er sich nicht primär aufgrund dieser Person nicht bei den Behörden gemeldet habe, sondern weil er gedacht habe, es sei schwierig, sein Problem bei den Behörden zu lösen. Erst anlässlich der Stellungnahme zum Entscheidentwurf habe er schliesslich nähere Angaben zu dieser Person gemacht und ihren Namen und die Position genannt. Vor dem Hintergrund, dass er in der Anhörung ausführlich zu diesem Mann befragt worden sei, vermöchten sowohl diese als nachgeschoben zu erachtenden Angaben als auch die später eingereichten Fotografien dieser Person nichts an den Erwägungen des SEM zu ändern. Gleiches gelte für die mit der Stellungnahme zum Entscheidentwurf eingereichten Beweismittel. Weder die eingereichten Fotografien, die Videos noch die Chatverläufe vermöchten die Schlussfolgerung des SEM zur vorhandenen Schutzinfrastruktur im Nordirak zu widerlegen. Somit sei nicht davon auszugehen, dass der Beschwerdeführer seitens der Behörden keinen Schutz erhalten hätte oder sich aufgrund eines speziellen Profils nicht bei den Behörden hätte melden können. Aufgrund dessen sei es ihm zumutbar, sich bei erneuter Gefahr an die heimatlichen Behörden zu wenden und um Schutz vor Übergriffen vor diesen unbekannten Personen zu ersuchen oder sich bei Untätigbleiben der Behörden an die nächst höhere Instanz zu wenden. Der Wegweisungsvollzug sei als zulässig, zumutbar und möglich zu erachten. Es würden keine individuellen Gründe gegen die Zumutbarkeit sprechen, und aufgrund der persönlichen Voraussetzungen des Beschwerdeführers (Gesundheit, junges Alter, Schulbildung, Berufserfahrung, eigenes Geschäft, zahlreiche im Nordirak lebende engere und weitere Verwandte etc.) sei davon auszugehen, dass er bei einer Rückkehr in seinen Heimatstaat in der Lage sein werde, seinen Lebensunterhalt und seine Wohnsituation zu sichern und im Bedarfsfall auf die Unterstützung seiner Familie zählen könne.</w:t>
      </w:r>
    </w:p>
    <w:p>
      <w:r>
        <w:rPr>
          <w:b/>
        </w:rPr>
        <w:t>E. 5.3</w:t>
      </w:r>
    </w:p>
    <w:p>
      <w:r>
        <w:t>Auf Beschwerdeebene machte der Beschwerdeführer geltend, dass die uneheliche Beziehung zu einer Frau im Nordirak als unehrenhaft gelte. Ehrenmorde seien insbesondere in ländlichen Gegenden keine Seltenheit, und solche würden von der Gesellschaft akzeptiert. Die Feststellung der Vorinstanz, dass die Behörden im Nordirak grundsätzlich in der Lage seien, Hinweisen auf Übergriffe nachzugehen und nötigenfalls eine Strafverfolgung einzuleiten, sei zu undifferenziert. Die Stammesstrukturen und deren Durchsetzung von Recht würden oft parallel zum Justizsystem verlaufen und ein eigenes Rechtssystem darstellen, welches von den dortigen Behörden toleriert werde. Aus den kurdisch-stämmigen Gebieten seien verschiedene Fälle von Ehrenmorde bekannt, in welchen die sogenannten Familienräte über das Schicksal eines unverheirateten Paares entschieden hätten. Entgegen der Ausführungen der Vorinstanz würde eine Anzeige an die Behörden keinen Erfolg bringen, da diese nicht oder nur zögerlich reagieren würden. Hinzu komme, dass er als Mitglied des Berwari-Stammes im Vergleich zum Gergeri-Stamm, welchem seine Freundin angehöre, eine untergeordnete Stellung innehabe. Da im irakischen Recht eine Strafmilderung bei Ehrenmorden vorgesehen sei, drohe einem Täter höchstens drei Jahre Freiheitsstrafe, weshalb diese nicht vor einem Ehrenmord zurückschrecken würden. Vor diesem Hintergrund sei nachvollziehbar, dass er sich nicht an die heimatlichen Behörden gewandt habe. Die eingereichten Beweismittel würden seine Vorbringen bestätigen. Das SEM hätte diesbezüglich differenziertere Abklärungen vornehmen und ein erweitertes Asylverfahren durchführen müssen. Da es dies unterlassen habe, sei die Sache zur weiteren Abklärung im erweiterten Verfahren an die Vorinstanz zurückzuweisen. Aufgrund des ihm bei einer Rückkehr in den Irak bevorstehenden Todes sei der Wegweisungsvollzug als unzulässig und unzumutbar einzustufen.</w:t>
      </w:r>
    </w:p>
    <w:p>
      <w:r>
        <w:rPr>
          <w:b/>
        </w:rPr>
        <w:t>E. 6.1</w:t>
      </w:r>
    </w:p>
    <w:p>
      <w:r>
        <w:t>Die Flüchtlingseigenschaft gemäss Art. 3 AsylG erfüllt eine asylsuchende Person nach Lehre und Rechtsprechung dann, wenn sie Nachteile von bestimmter Intensität erlitten hat oder mit beachtlicher Wahrscheinlichkeit und in absehbarer Zukunft solche befürchten muss, welche ihr gezielt und aufgrund bestimmter Verfolgungsmotive durch die Behörden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Heimatstaat keinen ausreichenden Schutz finden kann (vgl. BVGE 2011/51 E. 7, 2008/12 E. 7.2.6.2).</w:t>
      </w:r>
    </w:p>
    <w:p>
      <w:r>
        <w:rPr>
          <w:b/>
        </w:rPr>
        <w:t>E. 6.2</w:t>
      </w:r>
    </w:p>
    <w:p>
      <w:r>
        <w:t>Gemäss BVGE 2008/4 sind die Sicherheits- und Justizbehörden der nordirakischen Autonomen Region Kurdistan (ARK; die ARK wird seit Anfang 2015 durch die Provinzen Dohuk, Erbil, Suleymania sowie die von Letzterer abgespalteten Provinz Halabja gebildet) grundsätzlich in der Lage und willens, den Einwohnern dieser vier Provinzen Schutz vor Verfolgung zu gewähren (a.a.O. E. 6.1-6.7). Diese Einschätzung wurde mit Urteil des Bundesverwaltungsgerichts E-3737/2015 vom 14. Dezember 2015 (als Referenzurteil publiziert) bestätigt und hat weiterhin Gültigkeit. Die Schutzgewährung erstreckt sich auch auf Bedrohungen, welche im Zusammenhang mit der Ehre stehen (vgl. Urteil des Bundesverwaltungsgerichts D-3292/2016 vom 9. November 2016 E. 5.4 m.H.a. BVGE 2008/4; zu den Voraussetzungen der Schutztheorie: BVGE 2011/51, E. 7 f. m.w.H.). Das Gericht geht deshalb mit der Vorinstanz einig, dass - entgegen der Darstellung des Beschwerdeführers - der Wille und die Fähigkeit der kurdischen Behörden in C._______, ihn vor diesen Bedrohungen zu schützen, heute nach wie vor als gegeben zu erachten sind. Der Beschwerdeführer hat gemäss eigenen Angaben darauf verzichtet, bei den zuständigen staatlichen Organen um Schutz zu ersuchen. Vorliegend finden sich jedoch keine begründeten Hinweise auf einen fehlenden Schutzwillen oder Schutzfähigkeit der Behörden. Als Grund für seinen Verzicht brachte der Beschwerdeführer vor, es handle sich dabei um ein "Stammes-Problem" (A10 F87, F100) und die Behörden könnten in dieser Angelegenheit nichts ausrichten. Zudem führte er aus, eine bei der Regierung bekannte Person - der Onkel mütterlicherseits seiner Freundin - habe eine hohe Position bei der Polizei inne (A10 F100 ff.). Dieser Mann und sein möglicher Einfluss waren jedoch offenbar nicht der ausschlaggebende Grund, weshalb der Beschwerdeführer sich nicht hilfesuchend an die Behörden gewandt hatte. So führte er in der Anhörung aus, er habe die Anzeige nicht unbedingt wegen dieser Person nicht machen können und es hätte weitere Stellen gegeben, an welche er sich hätte wenden können (A10 F103). Der somit einzig mit der Annahme, dass die Behörden nichts würden ausrichten können, begründete Verzicht des Beschwerdeführers auf eine Kontaktierung der Sicherheitsbehörden vermag demnach nicht eine effektiv fehlende Schutzfähigkeit oder einen mangelnden Schutzwillen der heimatlichen Behörden auszuweisen. Dem Beschwerdeführer gelingt es mit seinen Ausführungen nicht, darzulegen, es sei ihm nicht zuzumuten gewesen, sich schutzsuchend an die Behörden zu wenden, woran auch die auf Beschwerdeebene eingereichten Berichte zu verschiedenen Ehrenmorden an Frauen, Männern oder homosexuellen Personen nichts zu ändern vermögen (vgl. Beschwerdebeilagen Nrn. 3-7). Gleich verhält es sich mit den übrigen eingereichten Beweismitteln, welche allenfalls ausschliesslich dafür geeignet wären, den (vorliegend gar nicht bestrittenen) Sachverhalt zu belegen. Der Beschwerdeführer ist deshalb nicht auf den subsidiären Schutz der Schweiz angewiesen.</w:t>
      </w:r>
    </w:p>
    <w:p>
      <w:r>
        <w:rPr>
          <w:b/>
        </w:rPr>
        <w:t>E. 6.3</w:t>
      </w:r>
    </w:p>
    <w:p>
      <w:r>
        <w:t>Ergänzend zur Argumentation der Vorinstanz ist festzuhalten, dass den vom Beschwerdeführer geschilderten Drohungen aufgrund seiner Beziehung zu einer geschiedenen Frau ein asylrechtlich relevantes Motiv fehlt. Der Beschwerdeführer machte nicht geltend, die ihn bedrohenden unbekannten Personen hätten ihm aus einem in Art. 3 Abs. 1 AsylG enthaltenen Motiv wie seiner Rasse, seiner Religion, seiner Nationalität, seiner Zugehörigkeit zu einer bestimmten sozialen Gruppe oder wegen seiner politischen Anschauungen Nachteile im Sinne des Asylgesetzes zufügen wollten. Der geltend gemachten Gefahr vor Nachstellungen seitens privater Drittpersonen kommt daher keine asylrechtliche Relevanz zu und wäre - wenn der Beschwerdeführer im Nordirak keinen Schutz erhalten könnte - allenfalls im Rahmen zur Zulässigkeit zu prüfen.</w:t>
      </w:r>
    </w:p>
    <w:p>
      <w:r>
        <w:rPr>
          <w:b/>
        </w:rPr>
        <w:t>E. 6.4</w:t>
      </w:r>
    </w:p>
    <w:p>
      <w:r>
        <w:t>Zusammenfassend ergibt sich, dass es dem Beschwerdeführer nicht gelungen ist, eine im Zeitpunkt seiner Ausreise aus dem Nordirak beziehungsweise heute bestehende oder unmittelbar drohende asylrelevante Verfolgungsgefahr nachzuweisen oder zumindest glaubhaft zu machen. Das SEM hat das Asylgesuch des Beschwerdeführers demnach zu Recht abgelehnt.</w:t>
      </w:r>
    </w:p>
    <w:p>
      <w:r>
        <w:rPr>
          <w:b/>
        </w:rPr>
        <w:t>E. 6.5</w:t>
      </w:r>
    </w:p>
    <w:p>
      <w:r>
        <w:t>Aufgrund dieser Ausführungen ist auch der Antrag des Beschwerdeführers, die Sache an die Vorinstanz zurückzuweisen mit der Anweisung, im erweiterten Verfahren differenziertere Abklärungen vornehmen,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Wie oben erläutert (vgl. E. 6.2), ist aufgrund der Aktenlage anzunehmen, dass die staatlichen Behörden vorliegend willens und fähig sind, den Beschwerdeführer vor einem allfällig drohenden "Ehrenmord" zu schützen.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Im Urteil BVGE 2008/5 - in dem eine einlässliche Auseinandersetzung mit der Frage der Zumutbarkeit des Wegweisungsvollzugs in die drei damaligen kurdischen Provinzen des Nordiraks (Dohuk, Erbil und Suleimaniya) stattfand - hielt das Bundesverwaltungsgericht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7.5.8). Diese Praxis wurde in den folgenden Jahren durch das Bundesverwaltungsgericht bekräftigt. Im Urteil E-3737/2015 wurde die Lage im Nordirak und die Zumutbarkeitspraxis neuerlich überprüft. Festgestellt wurde, dass in den vier Provinzen der ARK aktuell nach wie vor nicht von einer Situation allgemeiner Gewalt im Sinne von Art. 83 Abs. 4 AuG auszugehen ist. An dieser Einschätzung, welche jeweils auf die aktuell herrschende Lage fokussiert, ändert auch das am 25. September 2017 in der ARK durchgeführte Referendum nichts, in welchem offenbar eine Mehrheit der Kurden für die Unabhängigkeit vom Irak votierte. Der Wegweisungsvollzug in die ARK ist damit nach wie vor als grundsätzlich zumutbar zu bezeichnen.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auch die Urteile des BVGer D-233/2017 vom 9. März 2017 E. 10.6, D-3994/2016 vom 22. August 2017 E. 6.3.3 und D-7841/2016 vom 6. September 2017 E. 7.4).</w:t>
      </w:r>
    </w:p>
    <w:p>
      <w:r>
        <w:rPr>
          <w:b/>
        </w:rPr>
        <w:t>E. 8.4.3</w:t>
      </w:r>
    </w:p>
    <w:p>
      <w:r>
        <w:t>Der Beschwerdeführer hat zeitlebens in C._______ gelebt, ist jung und verfügt über eine Schul- und Berufsbildung sowie entsprechende Berufserfahrung und war bis zu seiner Ausreise Inhaber eines eigenen (...)-Geschäfts. Im Nordirak leben zahlreiche (nahe und weiter entfernte) Verwandte wie seine Mutter und Geschwister, mit welchen er nach wie in Kontakt steht und welche ihm bei einer Rückkehr unterstützend zur Seite stehen können. Ein tragfähiges familiäres Beziehungsnetz ist somit vorhanden. Aufgrund seines beruflichen Hintergrundes ist davon auszugehen, dass er, wie vor seiner Ausreise, in der Lage sein wird, für ein regelmässiges Einkommen zu sorgen. Es liegen somit zahlreiche begünstigende individuelle Faktoren vor, aufgrund welcher nicht davon auszugehen ist, der Beschwerdeführer würde bei einer Rückkehr in eine Gefährdungslage geraten. An dieser Einschätzung vermag auch der auf Beschwerdeebene bei der Vorinstanz eingereichte ärztliche Austrittsbericht des Universitätsspitals B._______ nichts zu ändern. Gemäss diesem erlitt der Beschwerdeführer einen (körperlichen) Zusammenbruch, worauf aufgrund der Unauffälligkeit der körperlichen Untersuchung die psychiatrische Abteilung konsiliarisch beigezogen wurde. Diese hat beim Beschwerdeführer eine Posttraumatische Belastungsstörung (PTBS) mit Dissoziation diagnostiziert. Dazu ist einerseits festzuhalten, dass dem kurzen Arztbericht keine weiteren Informationen über den Gesundheitszustand des Beschwerdeführers zu entnehmen sind; vielmehr sind darin Informationen enthalten, welche nicht seinen im Asylverfahren geltend gemachten persönlichen Umständen entsprechen (Tod der Mutter vor 4 Tagen in Syrien, drohende Ausschaffung des Beschwerdeführers nach Syrien). Andererseits kann selbst bei Annahme der psychischen Beeinträchtigungen des Beschwerdeführers in einer gewissen Schwere mit Verweis auf die geltende Rechtsprechung des Bundesverwaltungsgerichts (s. Urteil des Bundesverwaltungsgerichts D-233/2017 vom 9. März 2017 E. 10.8 m.w.H.) festgehalten werden, dass von einer adäquaten Behandelbarkeit einer solchen Erkrankung im Nordirak auszugehen ist. Auch wenn gewisse Einbussen des Betreuungsstandards im Vergleich mit der Schweiz nicht in Abrede zu stellen sind, ist die medizinisch psychiatrische Grundversorgung für die Behandlung der geltend gemachten gesundheitlichen Probleme des Beschwerdeführers bei dessen Rückkehr in seinen Heimatstaat grundsätzlich gewährleistet. Auch andere persönliche Gründe, die einem Wegweisungsvollzug entgegenstehen würden, sind vorliegend nicht ersichtlich.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Nachdem die Eingangs gestellten Rechtsbegehren nicht zum Vornherein als aussichtslos zu bezeichnen waren und aufgrund der Akten von der Mittellosigkeit des Beschwerdeführers auszugehen ist, ist das Gesuch um Gewährung der unentgeltlichen Prozessführung gemäss Art. 65 Abs. 1 VwVG gutzuheissen. Es sind keine Verfahrenskosten aufzuerlegen.</w:t>
      </w:r>
    </w:p>
    <w:p>
      <w:r>
        <w:rPr>
          <w:b/>
        </w:rPr>
        <w:t>E. 10.2</w:t>
      </w:r>
    </w:p>
    <w:p>
      <w:r>
        <w:t>Aufgrund dessen ist das Gesuch um amtliche Rechtsverbeiständung im Sinne von Art. 102m Abs. 1 Bst. a und Abs. 4 AsylG ebenfalls gutzuheissen und dem Beschwerdeführer wird sein Rechtsvertreter als amtlicher Rechtsbeistand beigeordnet. Demnach ist diesem ein Honorar für seine notwendigen Aufwendungen im Beschwerdeverfahren auszurichten. Der Rechtsvertreter reichte keine Kostennote zu den Akten. Der notwendige Vertretungsaufwand lässt sich jedoch aufgrund der Aktenlage zuverlässig abschätzen (Art. 14 Abs. 2 in fine VGKE). Unter Berücksichtigung der massgebenden Bemessungsfaktoren (Art. 9 - 13 VGKE) sowie der Entschädigungspraxis in vergleichbaren Fällen ist ihm zulasten der Gerichtskasse ein amtliches Honorar von pauschal Fr. 900.- (inkl.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