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D-1916/2010 vom 23. April 2010</w:t>
      </w:r>
    </w:p>
    <w:p>
      <w:r>
        <w:t>Bundesverwaltungsgericht, 2010-04-23, DE</w:t>
      </w:r>
    </w:p>
    <w:p>
      <w:r>
        <w:rPr>
          <w:b/>
        </w:rPr>
        <w:t xml:space="preserve">Quelle: </w:t>
      </w:r>
      <w:r>
        <w:t>https://mcp.opencaselaw.ch/entscheid/bvger_D-1916_2010</w:t>
      </w:r>
    </w:p>
    <w:p>
      <w:r>
        <w:t>FR: TAF D-1916/2010 du 23 avril 2010</w:t>
      </w:r>
    </w:p>
    <w:p>
      <w:r>
        <w:t>IT: TAF D-1916/2010 del 23 aprile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2.1</w:t>
      </w:r>
    </w:p>
    <w:p>
      <w:r>
        <w:t>Der Zeitpunkt der Eröffnung der angefochtenen Verfügung steht mangels Vorliegens einer Empfangsbestätigung nicht fest. Da die Beweislast für die Zustellung an die Partei der eröffnenden Behörde obliegt (vgl. Fritz Gygi, Bundesverwaltungsrechtspflege, 2. Aufl., Bern 1983, S. 61), ist zugunsten des Beschwerdeführers davon auszugehen, dass die am 25. März 2010 bei der schweizerischen Vertretung in _______ eingegangene Beschwerde rechtzeitig erfolgt ist.</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w:t>
      </w:r>
    </w:p>
    <w:p>
      <w:r>
        <w:rPr>
          <w:b/>
        </w:rPr>
        <w:t>E. 5</w:t>
      </w:r>
    </w:p>
    <w:p>
      <w:r>
        <w:t>Gestützt auf Art. 111a Abs. 1 AsylG wurde vorliegend auf die Durchführung des Schriftenwechsels verzichtet.</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6.2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7.1</w:t>
      </w:r>
    </w:p>
    <w:p>
      <w:r>
        <w:t>Einleitend ist festzuhalten, dass der Beschwerdeführer unter anderem erklärte, mit den LTTE keine Bezüge oder Probleme gehabt zu haben. In Anbetracht seiner geltend gemachten Aufenthalte in Kampfgebieten und der zu Protokoll gegebenen Biografien respektive aktuellen Aufenthaltsorten von Angehörigen wirft diese Aussage gewisse Fragen auf, zumal die Botschaft im Übermittlungsschreiben an die Vorinstanz unter anderem die offensichtliche Angst des Beschwerdeführers erwähnte. Da er aber am Ende der Befragung erklärte, alle für ihn relevanten Fluchtgründe vorgebracht zu haben, ist er grundsätzlich dabei zu behaften.</w:t>
      </w:r>
    </w:p>
    <w:p>
      <w:r>
        <w:rPr>
          <w:b/>
        </w:rPr>
        <w:t>E. 7.2</w:t>
      </w:r>
    </w:p>
    <w:p>
      <w:r>
        <w:t>Die Vorinstanz hat im angefochtenen Entscheid in detaillierten Erwägungen darauf hingewiesen, dass erhebliche Diskrepanzen zwischen der schriftlichen Asylbegründung des Beschwerdeführers vom 5. Juni 2009 und den Angaben, die er anlässlich der Befragung vom 28. Oktober 2009 machte, bestehen. Eine Überprüfung der relevanten Akten stützt die Auffassung des BFM. So geht aus der schriftlichen Begründung klar hervor, dass er durch Armeeangehörige an einem unbekannten Ort angeblich gefoltert worden sein soll, derweil er gemäss den mündlichen Schilderungen durch Unbekannte, welche in das Lager eingedrungen seien, die erwähnten Nachteile erlitten habe (vgl. S. 2 des Protokolls). Auch die weiteren vom BFM hervorgehobenen Unglaubhaftigkeitselemente bestehen (vgl. Bst. G. vorstehend). In der Rekurseingabe beschränkt sich der Beschwerdeführer weitgehend darauf, den Sachverhalt aus seiner Sicht erneut darzulegen beziehungsweise zu aktualisieren. Auffallend ist dabei, dass die Passage beginnend auf S. 1 unten zum Teil schon wörtlich in den Eingaben vom 5. Juni 2009 sowie 23. Juni 2009 enthalten war. Eine Auseinandersetzung mit den vorinstanzlichen Argumenten findet jedoch nicht statt. Das Beschwerdevorbringen, wonach das BFM seiner auch in psychischer Hinsicht prekären Situation nicht genügend Rechnung getragen habe, vermag die widersprüchlichen Aussagen jedenfalls nicht hinreichend zu erklären. Auffallend ist ferner, dass er in der Eingabe vom 23. Dezember 2009 geltend macht, nur über eine Identitätskarte zu verfügen, derweil sich in den vorinstanzlichen Akten eine Kopie seines am _______ ausgestellten und zehn Jahre lang gültigen Reisepasses befindet. Vor diesem Hintergrund ist die in der Beschwerde geäusserte Furcht (auch) vor den staatlichen Sicherheitskräften erneut nicht glaubhaft respektive nachvollziehbar. Zwar bringt er in der Eingabe vom 5. Februar 2010 vor, Ende Dezember 2009 im Rahmen einer Razzia festgenommen, befragt und nach 6 Tagen wieder freigelassen worden zu sein. In Anbetracht seiner wie erwähnt insgesamt unglaubhaften Schilderungen ist aber auch dieses Vorbringen zu bezweifeln. Unbesehen dessen wäre die Asylrelevanz einer Haft von weniger als einer Woche verbunden mit Befragungen in der geltend gemachten Form ohnehin nicht gegeben. Dies umso weniger, als damit offenbar keine weiteren Massnahmen wie die Einleitung eines Strafverfahrens verbunden waren. Entsprechend ist seine weitere Behauptung, wonach seine Partnerin respektive Ehefrau im Rahmen ihrer Meldepflicht wiederholt nach seinem Aufenthaltsort gefragt worden sei, ebenfalls unglaubhaft, da er diesfalls nicht bereits nach sechs Tagen aus dem Gewahrsam der Sicherheitskräfte, welche praxisgemäss weitere Nachforschungen angestellt haben dürften, freigekommen wäre. Schliesslich verweist das BFM zu Recht darauf, dass dem Beschwerdeführer, welcher angab, letztmals im Dezember 2005 durch Unbekannte bedroht worden zu sein, gemäss bestehender Aktenlage keine begründete Furcht vor ernsthaften Nachteilen im Heimatland zu attestieren ist.</w:t>
      </w:r>
    </w:p>
    <w:p>
      <w:r>
        <w:rPr>
          <w:b/>
        </w:rPr>
        <w:t>E. 7.3</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wie der Beschwerdeführer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Entsprechend vermögen die weiteren Ausführungen des Beschwerdeführers in den Eingaben und anlässlich der Befragung zur generellen Gefährdungssituation seiner Person respektive der Tamilen nicht zur Anerkennung der Flüchtlingseigenschaft zu führen. Der Beschwerdeführer vermag mithin nicht substanziiert darzutun, inwiefern das BFM zu Unrecht geschlossen habe, er sei nicht schutzbedürftig im Sinne des AsylG.</w:t>
      </w:r>
    </w:p>
    <w:p>
      <w:r>
        <w:rPr>
          <w:b/>
        </w:rPr>
        <w:t>E. 8</w:t>
      </w:r>
    </w:p>
    <w:p>
      <w:r>
        <w:t>Zusammenfassend ist festzustellen, dass der Beschwerdeführer keine Verfolgung im Sinne von Art. 3 AsylG glaubhaft machen konnte und nicht als Flüchtling anerkannt werden kann. Aufgrund der vorstehenden Erwägungen erübrigt es sich, auf die weiteren Ausführungen einzugehen, da sie am festgestellten Ergebnis nichts zu ändern vermögen. Das BFM hat demnach zu Recht die Einreise in die Schweiz nicht bewilligt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