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D-1913/2020 vom 30. Juni 2020</w:t>
      </w:r>
    </w:p>
    <w:p>
      <w:r>
        <w:t>Bundesverwaltungsgericht, 2020-06-30, DE</w:t>
      </w:r>
    </w:p>
    <w:p>
      <w:r>
        <w:rPr>
          <w:b/>
        </w:rPr>
        <w:t xml:space="preserve">Quelle: </w:t>
      </w:r>
      <w:r>
        <w:t>https://mcp.opencaselaw.ch/entscheid/bvger_D-1913_2020</w:t>
      </w:r>
    </w:p>
    <w:p>
      <w:r>
        <w:t>FR: TAF D-1913/2020 du 30 juin 2020</w:t>
      </w:r>
    </w:p>
    <w:p>
      <w:r>
        <w:t>IT: TAF D-1913/2020 del 30 giugno 2020</w:t>
      </w:r>
    </w:p>
    <w:p>
      <w:pPr>
        <w:pStyle w:val="Heading2"/>
      </w:pPr>
      <w:r>
        <w:t>Regeste</w:t>
      </w:r>
    </w:p>
    <w:p>
      <w:r>
        <w:t>Asylwiderruf</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63 Abs. 1 Bst. b AsylG wird die Flüchtlingseigenschaft aberkannt und das Asyl widerrufen, wenn Gründe nach Art. 1 Bst. C Ziff. 1-6 des Abkommens vom 28. Juli 1951 über die Rechtsstellung der Flüchtlinge (FK, SR 0.142.30) vorliegen.</w:t>
      </w:r>
    </w:p>
    <w:p>
      <w:r>
        <w:rPr>
          <w:b/>
        </w:rPr>
        <w:t>E. 4.1.1</w:t>
      </w:r>
    </w:p>
    <w:p>
      <w:r>
        <w:t>Die in der FK normierten sogenannten «Beendigungsklauseln» definieren die Umstände, nach denen ein Flüchtling aufhört, ein Flüchtling zu sein. Die Klauseln beruhen auf der Überlegung, dass internationaler Schutz nicht mehr gewährt werden soll, wo er nicht mehr erforderlich oder nicht mehr gerechtfertigt ist. Während die Ziffern 1 bis 4 von Art. 1 Bst. C FK dabei an das Verhalten des Flüchtlings anknüpfen, beziehen sich die Ziffern 5 und 6 auf eine Veränderung der Umstände im Heimat- oder Herkunftsland.</w:t>
      </w:r>
    </w:p>
    <w:p>
      <w:r>
        <w:rPr>
          <w:b/>
        </w:rPr>
        <w:t>E. 4.1.2</w:t>
      </w:r>
    </w:p>
    <w:p>
      <w:r>
        <w:t>Gemäss Art. 1 Bst. C Ziff. 1 FK fällt eine Person dann nicht mehr unter den Geltungsbereich der Flüchtlingskonvention, wenn sie sich freiwillig wieder unter den Schutz des Landes gestellt hat, dessen Staatsangehörigkeit sie besitzt.</w:t>
      </w:r>
    </w:p>
    <w:p>
      <w:r>
        <w:rPr>
          <w:b/>
        </w:rPr>
        <w:t>E. 4.1.3</w:t>
      </w:r>
    </w:p>
    <w:p>
      <w:r>
        <w:t>Im Hinblick auf die Anwendung von Art. 1 Bst. C Ziff. 1 FK ist im Grundsatz kein Unterschied zwischen Personen mit originär erlangter Flüchtlingseigenschaft und solchen mit derivativ erlangter Flüchtlingseigenschaft zu machen. Ebenso ist Art. 63 AsylG auf originäre Flüchtlinge und auf Personen, welche die Flüchtlingseigenschaft bloss derivativ erhalten haben, gleichermassen anwendbar (vgl. BVGE 2017 VI/11; Urteil des BVGer E-7305/2018 vom 27. Mai 2020 E. 5.4).</w:t>
      </w:r>
    </w:p>
    <w:p>
      <w:r>
        <w:rPr>
          <w:b/>
        </w:rPr>
        <w:t>E. 4.1.4</w:t>
      </w:r>
    </w:p>
    <w:p>
      <w:r>
        <w:t>Die Aberkennung der Flüchtlingseigenschaft und der Widerruf des Asyls gestützt auf Art. 63 Abs. 1 Bst. b AsylG i.V.m. Art. 1 Bst. C Ziff. 1 FK sind gemäss Lehre und Rechtsprechung (BVGE 2010/17 E. 5.2 ff.) dann anzuordnen, wenn die folgenden drei Voraussetzungen kumulativ erfüllt sind: Die Handlung der die Flüchtlingseigenschaft innehabenden Person muss freiwillig erfolgt sein. Bei der Beurteilung, ob diese Voraussetzung gegeben ist, kommt es auch auf die Motive für die Heimatreise an. Einfache Urlaubs- und Vergnügungsreisen lassen eher auf die Inkaufnahme einer Unterschutzstellung schliessen als Reisen aus Gründen, die ohne gleich die Freiwilligkeit auszuschliessen, immerhin ein gewisses Mass an psychischem Druck zur Heimatreise ausüben. Die als Flüchtling anerkannte Person muss in der Absicht gehandelt haben, sich dem Schutz des Heimatstaates zu unterstellen. Die Schutzgewährung durch den Heimatstaat muss tatsächlich erfolgt sein. Das Kriterium der effektiven Schutzgewährung ist erfüllt, wenn objektive Anhaltspunkte dafür bestehen, dass die als Flüchtling anerkannte Person in ihrem Heimatstaat tatsächlich nicht mehr gefährdet ist. Lediglich im Rahmen der Prüfung der letztgenannten Frage der effektiven Schutzgewährung kann dem Umstand Rechnung getragen werden, dass eine Person den Flüchtlingsstatus und das Asyl nicht originär, sondern lediglich derivativ erworben und insofern keine persönliche Verfolgung durch ihren Heimatstaat erlitten hat (BVGE 2017 VI/11 E. 4.4).</w:t>
      </w:r>
    </w:p>
    <w:p>
      <w:r>
        <w:rPr>
          <w:b/>
        </w:rPr>
        <w:t>E. 4.1.5</w:t>
      </w:r>
    </w:p>
    <w:p>
      <w:r>
        <w:t>Heimatreisen von Flüchtlingen sind restriktiv zu beurteilen. Grundsätzlich stellt der Umstand, dass sich ein anerkannter Flüchtling zurück in den Verfolgerstaat begibt, ein starkes Indiz dafür dar, dass die frühere Verfolgungssituation oder die Furcht vor Verfolgung nicht mehr besteht. Trotzdem stellt nicht jeder Kontakt mit den Heimatbehörden und damit auch nicht jede Heimatreise einen Aberkennungsgrund dar.</w:t>
      </w:r>
    </w:p>
    <w:p>
      <w:r>
        <w:rPr>
          <w:b/>
        </w:rPr>
        <w:t>E. 4.2</w:t>
      </w:r>
    </w:p>
    <w:p>
      <w:r>
        <w:t>Gemäss dem seit 1. Juni 2019 in Kraft getretenen Art. 63 Abs. 1bis AsylG (verabschiedet mit Gesetzesrevision vom 14. Oktober 2018 zur Änderung des Ausländer- und Integrationsgesetzes [AIG] vom 14. Dezember 2018, Verfahrensregelungen und Informationssysteme, AS 2019 1413 ff.; BBl 2018 1685 ff.) aberkennt das SEM die Flüchtlingseigenschaft, wenn Flüchtlinge in ihren Heimat- oder Herkunftsstaat reisen. Die Aberkennung unterbleibt, wenn die ausländische Person glaubhaft macht, dass die Reise in den Heimat- oder Herkunftsstaat aufgrund eines Zwanges erfolgte. Diese Regelungen betreffen sowohl anerkannte Flüchtlinge mit Asyl sowie Flüchtlinge mit einer vorläufigen Aufnahme (vgl. Urteil des BVGer E-5675/2019 vom 16. Januar 2020 E. 4.2).</w:t>
      </w:r>
    </w:p>
    <w:p>
      <w:r>
        <w:rPr>
          <w:b/>
        </w:rPr>
        <w:t>E. 4.2.1</w:t>
      </w:r>
    </w:p>
    <w:p>
      <w:r>
        <w:t>Die Vorinstanz legt diese neue Bestimmung dahingehend aus, dass der Gesetzgeber mit der Einführung von Art. 63 Abs. 1bis AsylG bewusst darauf verzichtet habe, die Aberkennung der Flüchtlingseigenschaft bei Heimatreisen von den Kriterien der beabsichtigten Unterschutzstellung sowie der effektiven Schutzgewährung abhängig zu machen. Stehe nach aktueller Gesetzeslage fest, dass eine als Flüchtling anerkannte Person in ihren Heimatstaat gereist sei, werde von der Aberkennung der Flüchtlingseigenschaft einzig dann noch abgesehen, wenn diese die Reise aufgrund eines Zwanges unternommen habe. Der Nachweis eines solches Zwanges sei im Sinne einer Umkehr der Beweislast von der heimreisenden Person und nicht von der verfügenden Behörde zu erbringen (vgl. Handbuch Asyl und Rückkehr Artikel E6 «Die Beendigung des Asyls und die Aberkennung der Flüchtlingseigenschaft» Ziff. 1.2.1.2.).</w:t>
      </w:r>
    </w:p>
    <w:p>
      <w:r>
        <w:rPr>
          <w:b/>
        </w:rPr>
        <w:t>E. 4.2.2</w:t>
      </w:r>
    </w:p>
    <w:p>
      <w:r>
        <w:t>Eine weitergehende Auseinandersetzung mit der gesetzgeberischen Intention zur neu eingeführten Norm kann vorliegend unterbleiben. Ebenso muss der Frage nicht nachgegangen werden, in welchem Verhältnis Art. 63 Abs. 1bis zum nach wie vor Gültigkeit entfaltenden Art. 63 Abs. 1 Bst. b AsylG i.V.m. Art. 1 Bst. C Ziff. 1 FK steht.</w:t>
      </w:r>
    </w:p>
    <w:p>
      <w:r>
        <w:rPr>
          <w:b/>
        </w:rPr>
        <w:t>E. 4.3</w:t>
      </w:r>
    </w:p>
    <w:p>
      <w:r>
        <w:t>Das Bundesverwaltungsgericht ist an die Begründung der Vorinstanz nicht gebunden (Art. 62 Abs. 4 VwVG); es kann die Beschwerde auch aus andern Überlegungen als jenen der Vorinstanz abweisen (sog. Motivsubstitution; vgl. Madeleine Camprubi in: Auer/Müller/Schindler [Hrsg.], VwVG, Kommentar zum Bundesgesetz über das Verwaltungsverfahren, 2. Aufl. 2019, N 16 zu Art. 62 VwVG; Kölz/Häner/Bertschi, Verwaltungsverfahren und Verwaltungsrechtspflege des Bundes, 3. Aufl. 2013, S. 398, Rz. 1136). Eine Aberkennung der Flüchtlingseigenschaft und ein Widerruf des Asyls rechtfertigt sich vorliegend auch mit Blick auf die weniger restriktive Norm von Art. 63 Abs. 1 AsylG.</w:t>
      </w:r>
    </w:p>
    <w:p>
      <w:r>
        <w:rPr>
          <w:b/>
        </w:rPr>
        <w:t>E. 5.1</w:t>
      </w:r>
    </w:p>
    <w:p>
      <w:r>
        <w:t>Zunächst ist festzuhalten, dass der Beschwerdeführer auch auf Beschwerdeebene nicht bestreitet, vom (...) bis zum (...) in seinem Heimatstaat gewesen zu sein. Vielmehr führt er in der Beschwerdeschrift aus, er habe sich bereits im Jahr (...) in den Sudan begeben. Gemäss den bei den Akten befindlichen Passstempeln erfolgte die Ein- und Ausreise vom Flughafen der H._______ (vgl. SEM act. 1060961-1/7, S. 5).</w:t>
      </w:r>
    </w:p>
    <w:p>
      <w:r>
        <w:rPr>
          <w:b/>
        </w:rPr>
        <w:t>E. 5.2</w:t>
      </w:r>
    </w:p>
    <w:p>
      <w:r>
        <w:t>Soweit der Beschwerdeführer bezüglich Freiwilligkeit des Kontaktes mit dem Heimatstaat und Absicht der Unterschutzstellung im Beschwerdeverfahren geltend macht, seine schwer kranke F._______ väterlicherseits im Jahr (...) besucht zu haben, schliesst dies weder die Freiwilligkeit der Unterschutzstellung im Sinne von Art. 63 Abs. 1 AsylG aus noch stellt dies einen "Zwang" im Sinne von Art. 63 Abs. 1bis AsylG dar. Zwar wird an dieser Stelle nicht verkannt, dass es für Flüchtlinge schwierig ist, über Jahre getrennt von nahen Familienangehörigen zu leben. Gleichwohl ist daran zu erinnern, dass der Schutz desjenigen Staates, der einer Person den Flüchtlingsstatus gewährt, ein subsidiärer ist (vgl. Urteil des BVGer E-5282/2019 vom 19. Dezember 2019 E. 5.3). Im Übrigen ist in diesem Zusammenhang auch auf die Ausführungen des Beschwerdeführers in der Beschwerdeschrift hinzuweisen, wonach er infolge des Familiennachzugs fälschlicherweise davon überzeugt gewesen sei, dass er selbst gar nicht über den Flüchtlingsstatus verfüge. Demnach hat sich der Beschwerdeführer bei seinen zwei Heimatreisen selbst nicht als Flüchtling beziehungsweise einer allfälligen Verfolgungsgefahr seines Heimatstaates ausgesetzt betrachtet. Es ist nach dem Gesagten davon auszugehen, dass er die Reise in den Sudan freiwillig unternahm und damit freiwillig in Kontakt mit seinem Heimatland trat. Zudem ist davon auszugehen, dass er die Schutzgewährung durch seinen Heimatstaat zumindest in Kauf nahm.</w:t>
      </w:r>
    </w:p>
    <w:p>
      <w:r>
        <w:rPr>
          <w:b/>
        </w:rPr>
        <w:t>E. 5.3</w:t>
      </w:r>
    </w:p>
    <w:p>
      <w:r>
        <w:t>Da der Beschwerdeführer offenbar problemlos - nach (...) zum zweiten Mal - in den Sudan einreisen und danach wieder ausreisen konnte, bestehen objektive Anhaltspunkte dafür, dass er im Sudan nicht mehr gefährdet respektive effektiv geschützt ist. In diesem Zusammenhang ist sodann festzustellen, dass sich der Beschwerdeführer für einen relativ langen Zeitraum, nämlich mehr als (...) Monate in seinem Heimatland aufgehalten hat. Es kann daher nicht davon ausgegangen werden, dass sein Aufenthalt in sein Heimatland heimlich und unentdeckt geblieben ist, zumal er beim Flughafen der H._____ ein- und wieder ausreiste. Schliesslich liegen keine spezifischen Umstände vor, die die Aberkennung der Flüchtlingseigenschaft und den Widerruf des Asyls bezüglich des Beschwerdeführers unverhältnismässig erscheinen lassen würden.</w:t>
      </w:r>
    </w:p>
    <w:p>
      <w:r>
        <w:rPr>
          <w:b/>
        </w:rPr>
        <w:t>E. 5.4</w:t>
      </w:r>
    </w:p>
    <w:p>
      <w:r>
        <w:t>Zusammenfassend ist festzuhalten, dass vom Vorliegen der Voraussetzungen für die Aberkennung der Flüchtlingseigenschaft und den Widerruf des Asyls gemäss Art. 63 Abs. 1 Bst. b AsylG i.V.m. Art. 1 Bst. C Ziff. 1 FK auszugehen ist.</w:t>
      </w:r>
    </w:p>
    <w:p>
      <w:r>
        <w:rPr>
          <w:b/>
        </w:rPr>
        <w:t>E. 6</w:t>
      </w:r>
    </w:p>
    <w:p>
      <w:r>
        <w:t>Aus diesen Erwägungen ergibt sich, dass die angefochtene Verfügung Bundesrecht nicht verletzt und auch sonst nicht zu beanstanden ist (Art. 106 AsylG). Die Beschwerde ist demzufolge abzuweisen.</w:t>
      </w:r>
    </w:p>
    <w:p>
      <w:r>
        <w:rPr>
          <w:b/>
        </w:rPr>
        <w:t>E. 7</w:t>
      </w:r>
    </w:p>
    <w:p>
      <w:r>
        <w:t>Bei diesem Ausgang des Verfahrens sind die Kosten dem Beschwerdeführer aufzuerlegen (Art. 63 Abs. 1 VwVG) und auf insgesamt Fr. 750. - festzulegen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