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D-1912/2020 vom 18. Juni 2025</w:t>
      </w:r>
    </w:p>
    <w:p>
      <w:r>
        <w:t>Bundesverwaltungsgericht, 2025-06-18, DE</w:t>
      </w:r>
    </w:p>
    <w:p>
      <w:r>
        <w:rPr>
          <w:b/>
        </w:rPr>
        <w:t xml:space="preserve">Quelle: </w:t>
      </w:r>
      <w:r>
        <w:t>https://mcp.opencaselaw.ch/entscheid/bvger_D-1912_2020</w:t>
      </w:r>
    </w:p>
    <w:p>
      <w:r>
        <w:t>FR: TAF D-1912/2020 du 18 juin 2025</w:t>
      </w:r>
    </w:p>
    <w:p>
      <w:r>
        <w:t>IT: TAF D-1912/2020 del 18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D-1912/2020 Seite 6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befürchten muss. Die Nachteile müssen gezielt und aufgrund bestimmter Verfolgungsmotive drohen oder zugefügt worden sein. Ausgangspunkt für die Beurteilung der Flüchtlingseigenschaft ist sodann bei vorgebrachter Vorverfolgung die Frage, ob im Zeitpunkt der Ausreise eine Verfolgung oder eine begründete Furcht vor einer solchen bestand. Diese Verfolgungsfurcht muss im Zeit- punkt des Asylentscheids noch aktuell sein (vgl. dazu BVGE 2013/11 E. 5.1; 2010/57 E. 2; 2008/12 E. 5 je m.w.H.).</w:t>
      </w:r>
    </w:p>
    <w:p>
      <w:r>
        <w:rPr>
          <w:b/>
        </w:rPr>
        <w:t>E. 3.2</w:t>
      </w:r>
    </w:p>
    <w:p>
      <w:r>
        <w:t>Die Flüchtlingseigenschaft ist nachzuweisen, soweit der strikte Beweis möglich ist, und andernfalls zumindest glaubhaft zu machen (Art. 7 AsylG).</w:t>
      </w:r>
    </w:p>
    <w:p>
      <w:r>
        <w:rPr>
          <w:b/>
        </w:rPr>
        <w:t>E. 4.1</w:t>
      </w:r>
    </w:p>
    <w:p>
      <w:r>
        <w:t>Die Vorinstanz führt in der angefochtenen Verfügung im Wesentlichen aus, die strafrechtliche Verfolgung des Beschwerdeführers sei nicht asyl- relevant, da sie nach Verbüssung seiner Haftstrafe als abgeschlossen gelte und kein begründeter Anlass zur Annahme bestehe, er habe künftig mit staatlichen Verfolgungsmassnahmen zu rechnen. Auch eine Reflexver- folgung sei nicht anzunehmen, zumal er aufgrund seiner Verwandten keine Nachteile erlitten habe. Schliesslich sei auch seine Furcht, in der Türkei zum Militärdienst verpflichtet oder aufgrund von Refraktion sanktioniert zu werden, nicht asylrelevant, da er nicht aus einem Grund nach Art. 3 AsylG ernsthafte Nachteile zu gewärtigen habe.</w:t>
      </w:r>
    </w:p>
    <w:p>
      <w:r>
        <w:rPr>
          <w:b/>
        </w:rPr>
        <w:t>E. 4.2</w:t>
      </w:r>
    </w:p>
    <w:p>
      <w:r>
        <w:t>In der Beschwerde wird dem entgegengehalten, dem Beschwerde- führer drohe durchaus der Widerruf seiner bedingten Haftentlassung. Die diesbezüglichen Abklärungen des SEM seien veraltet und beleuchteten die Thematik losgelöst von der Situation des Beschwerdeführers. Dass die</w:t>
      </w:r>
    </w:p>
    <w:p>
      <w:r>
        <w:t>D-1912/2020 Seite 7 Behörden einen möglichen Widerruf als Druckmittel gegen ihn einsetzen könnten, sei naheliegend. Aufgrund der problematischen Menschenrechts- lage in der Türkei könnten Personen mit hängigem oder abgeschlossenem Strafverfahren Opfer staatlicher Repressionen werden. Dass der Be- schwerdeführer zu einer mit neun Jahren sehr langen Freiheitsstrafe ver- urteilt worden sei, sei denn auch Ausdruck der weiterhin drohenden Re- flexverfolgung aufgrund seiner Verwandten.</w:t>
      </w:r>
    </w:p>
    <w:p>
      <w:r>
        <w:rPr>
          <w:b/>
        </w:rPr>
        <w:t>E. 5.1</w:t>
      </w:r>
    </w:p>
    <w:p>
      <w:r>
        <w:t>Der Beschwerdeführer rügt in seiner Beschwerde unter anderem eine Verletzung des Anspruchs auf rechtliches Gehör und beantragt unter die- sem Gesichtspunkt die Aufhebung der angefochtenen Verfügung. Wie nachfolgend aufgezeigt wird, ist diese Rüge begründet. So hat es die Vorinstanz unterlassen, seine wesentlichen Asylvorbringen ernsthaft zu prüfen und in ihrer Entscheidfindung angemessen zu berücksichtigen. Zu- dem hat die Vorinstanz den Sachverhalt nicht rechtsgenüglich abgeklärt, so dass das Bundesverwaltungsgericht nicht in der Lage ist, abschliessend über die vorliegende Sache zu entscheiden.</w:t>
      </w:r>
    </w:p>
    <w:p>
      <w:r>
        <w:rPr>
          <w:b/>
        </w:rPr>
        <w:t>E. 5.2</w:t>
      </w:r>
    </w:p>
    <w:p>
      <w:r>
        <w:t>Gemäss Art. 29 Abs. 2 BV in Verbindung mit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 liert die Pflicht der Behörden, die Vorbringen tatsächlich zu hören, ernsthaft zu prüfen und in ihrer Entscheidfindung angemessen zu berücksichtigen. Die Begründung muss so abgefasst sein, dass sie eine sachgerechte An- fechtung ermöglicht. Nicht erforderlich ist, dass sich die Begründung mit allen Parteistandpunkten einlässlich auseinandersetzt und jedes einzelne Vorbringen ausdrücklich widerlegt (vgl. BGE 143 III 65 E. 5.2). Das Verwal- tungs- respektive Asylverfahren wird vom Untersuchungsgrundsatz be- herrscht (Art. 12 VwVG i.V.m. Art. 6 AsylG). Demnach hat die Behörde von Amtes wegen für die richtige und vollständige Abklärung des rechtserheb- lichen Sachverhaltes zu sorgen, die für das Verfahren notwendigen Unter- lagen zu beschaffen, die rechtlich relevanten Umstände abzuklären und ordnungsgemäss darüber Beweis zu führen. Die unrichtige oder unvoll- ständige Feststellung des rechtserheblichen Sachverhalts bildet einen Be- schwerdegrund (Art. 106 Abs. 1 Bst. b AsylG). Unrichtig ist die Sachver- haltsfeststellung, wenn der Verfügung ein falscher oder aktenwidriger Sachverhalt zugrunde gelegt wird oder Beweise falsch gewürdigt worden</w:t>
      </w:r>
    </w:p>
    <w:p>
      <w:r>
        <w:t>D-1912/2020 Seite 8 sind; unvollständig ist sie, wenn nicht alle für den Entscheid rechtswesent- lichen Sachumstände berücksichtigt werden (vgl. KÖLZ/HÄNER/BERTSCHI, Verwaltungsverfahren und Verwaltungsrechtspflege des Bundes, 3. Aufl. 2013, Rz. 1043 m.w.H.).</w:t>
      </w:r>
    </w:p>
    <w:p>
      <w:r>
        <w:rPr>
          <w:b/>
        </w:rPr>
        <w:t>E. 5.3</w:t>
      </w:r>
    </w:p>
    <w:p>
      <w:r>
        <w:t>Obgleich die Vorinstanz keine Zweifel an der Verurteilung des Be- schwerdeführers zu einer neunjährigen Haftstrafe hat, unterliess sie es, das allfällige Vorliegen eines politischen Datenblattes im sogenannten All- gemeinen Informationssystem GBTS (Genel Bilgi Toplama Sistemi), von dessen Existenz in Fällen wie dem des Beschwerdeführers erfahrungs- gemäss auszugehen ist (vgl. Urteil des BVGer E-5111/2022 vom 5. Februar 2025 E. 6.6.), abzuklären und dieses Sachverhaltselement zu würdigen. Liegt ein solches Datenblatt im Zusammenhang mit vermuteter regimekri- tischer Orientierung oder staatsfeindlichen Aktivitäten tatsächlich vor, geht das Bundesverwaltungsgericht gemäss einer von der damaligen Schwei- zerischen Asylrekurskommission (ARK) entwickelten Rechtsprechung bei Asylbewerbern aus der Türkei von einer begründeten Furcht vor künftiger asylrechtlich relevanter staatlicher Verfolgung aus (bestätigt in BVGE 2010/9 E. 5). Auch wäre die Frage zu prüfen gewesen, ob beim Beschwer- deführer – unter Berücksichtigung der Vorverfolgung – im Zeitpunkt der Ausreise ein unerträglicher psychischer Druck gemäss Art. 3 Abs. 2 AsylG vorlag. Dies insbesondere nachdem er mehrfach zu Protokoll gab, die Be- hörden hätten ihn wiederholt unter Druck gesetzt und bedroht, um ihn zu einer Zusammenarbeit zu bewegen (vgl. A20/21 F15 und F24). Ebenfalls nicht rechtsgenüglich geprüft und in ihrem Entscheid unzureichend berück- sichtigt, hat die Vorinstanz das familiäre Umfeld des Beschwerdeführers, welchem insbesondere im Zusammenhang mit einem allfälligen Datenblatt Relevanz beizumessen sein dürfte. Zwar ist der angefochtenen Verfügung zu entnehmen, das SEM habe die Akten der Verwandten und eines Mitan- geklagten des Beschwerdeführers, welche in der Schweiz als Flüchtlinge anerkannt worden sind (N 519 655, N 644 817, N 565 897; vgl. A34/10 S. 3), konsultiert, dass es sich damit ernsthaft auseinandersetzte, ist aus der angefochtenen Verfügung jedoch nicht ersichtlich. In der angefochte- nen Verfügung wird denn diesbezüglich lediglich pauschal festgehalten, Anhaltspunkte, dass der Beschwerdeführer aufgrund seiner Nähe zu den fraglichen Personen irgendwelche Nachteile erlitten habe, liessen sich sei- nen Schilderungen und den konsultierten Akten nicht entnehmen. Die Vor- instanz berücksichtigte die Vorgenannten denn auch lediglich mit Hinblick auf eine allfällige Reflexverfolgung, unterliess es jedoch gänzlich, den fa- miliären Kreis des Beschwerdeführers, die Umstände seiner Verurteilung und die Haltung der (örtlichen) Polizei ihm gegenüber zu kontextualisieren.</w:t>
      </w:r>
    </w:p>
    <w:p>
      <w:r>
        <w:t>D-1912/2020 Seite 9</w:t>
      </w:r>
    </w:p>
    <w:p>
      <w:r>
        <w:rPr>
          <w:b/>
        </w:rPr>
        <w:t>E. 6.1</w:t>
      </w:r>
    </w:p>
    <w:p>
      <w:r>
        <w:t>Gemäss Art. 61 Abs. 1 VwVG entscheidet das Bundesverwaltungs- gericht in der Sache selbst oder weist diese ausnahmsweise mit verbindli- chen Weisungen an die Vorinstanz zurück.</w:t>
      </w:r>
    </w:p>
    <w:p>
      <w:r>
        <w:rPr>
          <w:b/>
        </w:rPr>
        <w:t>E. 6.2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Eine Verletzung des Anspruchs auf recht- liches Gehör führt - angesichts des formellen Charakters des Gehörsan- 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Beschwerde- instanz für die konkrete Streitfrage die freie Überprüfungsbefugnis in Be- zug auf Tatbestand und Rechtsanwendung zukommt sowie die festge- stellte Verletzung nicht schwerwiegender Natur ist und die fehlende Ent- scheidreife durch die Beschwerdeinstanz mit vertretbarem Aufwand herge- stellt werden kann (vgl. BVGE 2014/22 E. 5.3 m.w.H.).</w:t>
      </w:r>
    </w:p>
    <w:p>
      <w:r>
        <w:rPr>
          <w:b/>
        </w:rPr>
        <w:t>E. 6.3</w:t>
      </w:r>
    </w:p>
    <w:p>
      <w:r>
        <w:t>Vorliegend ist eine Kassation der angefochtenen Verfügung und Rück- weisung der Sache an die Vorinstanz angezeigt. Das Bundesverwaltungs- gericht kommt zum Schluss, dass das SEM den rechtserheblichen Sach- verhalt unvollständig festgestellt und den Anspruch auf rechtliches Gehör des Beschwerdeführers in schwerwiegender Weise verletzt hat, wobei die Heilung dieser Mängel im Beschwerdeverfahren nicht möglich ist, weshalb der Entscheid aufzuheben und die Sache , wobei im Sinne der Erwägun- gen zur Neubeurteilung an die Vorinstanz zurückzuweisen ist. Das SEM ist anzuweisen den Sachverhalt durch weitere Abklärungen vollständig fest- zustellen und zu würdigen. Anschliessend ist die Sache – unter Würdigung aller entscheidwesentlicher Sachverhaltselemente, insbesondere seines familiären Umfelds oder des Verfahrens vor dem EGMR, aber auch der aktuellen Verhältnisse in der Türkei– neu zu entscheiden. Bei diesem Aus- gang des Verfahrens erübrigt sich, auf die weiteren mit der Beschwerde- schrift erhobenen Rügen und geltend gemachten Vorbringen einzugehen,</w:t>
      </w:r>
    </w:p>
    <w:p>
      <w:r>
        <w:t>D-1912/2020 Seite 10 zumal diese im wiederaufzunehmenden erstinstanzlichen Verfahren zu be- rücksichtigen sein werden.</w:t>
      </w:r>
    </w:p>
    <w:p>
      <w:r>
        <w:rPr>
          <w:b/>
        </w:rPr>
        <w:t>E. 7</w:t>
      </w:r>
    </w:p>
    <w:p>
      <w:r>
        <w:t>Nach dem Gesagten ist die Beschwerde gutzuheissen. Die Verfügung vom</w:t>
      </w:r>
    </w:p>
    <w:p>
      <w:r>
        <w:rPr>
          <w:b/>
        </w:rPr>
        <w:t>E. 8.1</w:t>
      </w:r>
    </w:p>
    <w:p>
      <w:r>
        <w:t>Bei diesem Verfahrensausgang sind keine Kosten zu erheben (Art. 63 Abs. 1 und 2 VwVG).</w:t>
      </w:r>
    </w:p>
    <w:p>
      <w:r>
        <w:rPr>
          <w:b/>
        </w:rPr>
        <w:t>E. 8.1.1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von der Vorinstanz auszurichtende Parteientschädigung ist gestützt auf die angemessen erscheinende Kostennote (Stundenansatz Fr. 220.-, zeitlicher Aufwand 9h 45min, Auslagen von Fr. 58.40) auf insgesamt Fr. 2'319.- (inklusive Auslagen und Mehrwertsteuerzuschlag) festzusetzen. Die unentgeltliche Rechtsverbeiständung ist gegenstandslos geworden. (Dispositiv nächste Seite)</w:t>
      </w:r>
    </w:p>
    <w:p>
      <w:r>
        <w:rPr>
          <w:b/>
        </w:rPr>
        <w:t>E. 9</w:t>
      </w:r>
    </w:p>
    <w:p>
      <w:r>
        <w:t>März 2020 ist aufzuheben und die Sache zur vollständigen Feststellung des rechtserheblichen Sachverhalts und anschliessenden Neubeurteilung an die Vorinstanz zurückzuweisen. 8. 8.1 Bei diesem Verfahrensausgang sind keine Kosten zu erheben (Art. 63 Abs. 1 und 2 VwVG). 8.1.1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von der Vorinstanz auszurichtende Parteientschädigung ist gestützt auf die angemessen erscheinende Kostennote (Stundenansatz Fr. 220.–, zeitlicher Aufwand 9h 45min, Auslagen von Fr. 58.40) auf insgesamt Fr. 2'319.– (inklusive Auslagen und Mehrwertsteuerzuschlag) festzusetzen. Die unentgeltliche Rechtsverbeiständung ist gegenstandslos geworden.</w:t>
      </w:r>
    </w:p>
    <w:p>
      <w:r>
        <w:t>(Dispositiv nächste Seite)</w:t>
      </w:r>
    </w:p>
    <w:p>
      <w:r>
        <w:t>D-1912/2020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