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D-1910/2012 vom 31. Mai 2012</w:t>
      </w:r>
    </w:p>
    <w:p>
      <w:r>
        <w:t>Bundesverwaltungsgericht, 2012-05-31, DE</w:t>
      </w:r>
    </w:p>
    <w:p>
      <w:r>
        <w:rPr>
          <w:b/>
        </w:rPr>
        <w:t xml:space="preserve">Quelle: </w:t>
      </w:r>
      <w:r>
        <w:t>https://mcp.opencaselaw.ch/entscheid/bvger_D-1910_2012</w:t>
      </w:r>
    </w:p>
    <w:p>
      <w:r>
        <w:t>FR: TAF D-1910/2012 du 31 mai 2012</w:t>
      </w:r>
    </w:p>
    <w:p>
      <w:r>
        <w:t>IT: TAF D-1910/2012 del 31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weshalb er zur Einreichung der Beschwerden legitimiert ist (Art. 105 AsylG i.V.m. Art. 37 VGG und Art. 48 Abs. 1 VwVG). Auf die Beschwerde ist somit - unter Vorbehalt der nachstehenden Ausführungen (E. 1.4.)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Begehren des Beschwerdeführers, es sei die aufschiebende Wirkung herzustellen,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der Beschwerdeführer den Wortlaut sämtlicher Protokolle mit seiner Unterschrift bestätigt hat und sich deshalb seine Aussagen entgegenhalten lassen muss, zumal er die übersetzenden Personen bei beiden Befragungen gut verstanden haben will (vgl. Akten BFM A 1/10 S. 8, A 10/15 S. 2).</w:t>
      </w:r>
    </w:p>
    <w:p>
      <w:r>
        <w:rPr>
          <w:b/>
        </w:rPr>
        <w:t>E. 5.2</w:t>
      </w:r>
    </w:p>
    <w:p>
      <w:r>
        <w:t>Nach Prüfung der Akten durch das Gericht ist zunächst - in Übereinstimmung mit der Vorinstanz - festzustellen, dass die vom Beschwerdeführer im vorinstanzlichen Verfahren geltend gemachten Asylvorbringen den Anforderungen an die Glaubhaftigkeit gemäss Art. 7 AsylG nicht standzuhalten vermögen, weshalb diesbezüglich vorab auf die ausführlichen und zutreffenden vorinstanzlichen Erwägungen zu verweisen ist (vgl. die Ziffer I, Bst. C. vorstehend). Durch seine unsubstanziierten, realitätsfremden und teilweise krass widersprüchlichen Vorbringen im vorinstanzlichen Verfahren ist die Glaubwürdigkeit des Beschwerdeführers bereits erheblich beeinträchtigt, was auch auf die Glaubhaftigkeit der mit "Ergänzung/Nachtrag" vom 24. April 2012 geltend gemachten Vorbringen Einfluss hat. In dieser Eingabe bringt der Beschwerdeführer - im Widerspruch zu seinen früheren Aussagen - vor, sein richtiger Name sei B._______, geboren am 25. August 1982. Er habe sich im Iran unter dem Namen "A._______" gegen die islamische Religion engagiert und unter diesem Namen im Iran auch als Christ "missioniert". Diesbezüglich ist festzuhalten, dass das Unterdrücken wichtiger Tatsachen beziehungsweise das Auswechseln oder Nachschieben von Vorbringen grundsätzlich als gegen die Glaubhaftigkeit des Sachvortrages sprechend zu würdigen ist. Der Beschwerdeführer wurde zu Beginn der Befragungen auf die ihm obliegende Mitwirkungs- und Wahrheitspflicht hingewiesen (A 1/10 S. 2, A 10/15 S. 2) und bestätigte am Ende der Befragungen, alle seine Vorbringen würden der Wahrheit entsprechen beziehungsweise seien vollständig festgehalten worden und er habe nichts mehr beizufügen (A 1/10 S. 6, 8, A 10/15 S. 12 f.). Aus den Akten sind keine Gründe ersichtlich, die es dem Beschwerdeführer unzumutbar gemacht hätten, bereits im Verfahren vor der Vorinstanz seinen richtigen Namen anzugeben und vorzubringen, dass er im Iran als Christ "missioniert" habe, weswegen man ihn verfolge. Seine Aussage, wonach er den Asylbehörden einen falschen Namen angegeben habe, da er nicht gedacht habe, er werde sich länger in der Schweiz aufhalten, vermag das Gericht nicht zu überzeugen. Auch die als Beweismittel eingereichten Dokumente ("Warnungsblatt", "Schreiben an die Vollzugsbehörde") vermögen seine mit "Ergänzung/Nachtrag" vom 24. April 2012 vorgebrachte Sachverhaltsdarstellung nicht zu stützen, da mangels Einreichung eines Identitätsdokumentes (vgl. dazu BVGE 2007/7) die Identität des Beschwerdeführers bis zum heutigen Zeitpunkt nicht rechtsgenüglich nachgewiesen ist, da ein Geburtszertifikat kein Identitätspapier im Sinne der Rechtsprechung ist, weshalb nicht erstellt ist, ob sich die eingereichten Dokumente überhaupt auf den Beschwerdeführer beziehen. Auch die in Aussicht gestellte Nachreichung der Dokumente im "Original" ändert an diesem Ergebnis nichts, weshalb ihre Einreichung nicht abgewartet zu werden braucht (antizipierte Beweiswürdigung; vgl. BVGE 2008/24 E. 7.2 S. 357, André Moser/Michael Beusch/Lorenz Kneubühler, Prozessieren vor dem Bundesverwaltungsgericht, Basel 2008, S. 165 Rz. 3.144). Nach dem Gesagten sind auch die erst mit "Ergänzung/Nachtrag" vom 24. April 2012 geltend gemachten Verfolgungsvorbringen des Beschwerdeführers als unglaubhaft zu bezeichnen. Aus den mit der Beschwerde eingereichten Dokumenten ist ersichtlich, dass sich der Beschwerdeführer am 24. Oktober 2009 in der Schweiz hat taufen lassen. Soweit er in der Rechtsmittelschrift behauptet, seine Konvertierung zum Christentum ziehe im Iran bekanntermassen schwerwiegende strafrechtliche Folgen nach sich, ist festzuhalten, dass hinsichtlich dieser im Ausland durchgeführten Konversion und der aus den Akten ersichtlichen Glaubensausübung nicht davon ausgegangen werden kann, dies sei in casu dem heimatlichen Umfeld des Beschwerdeführers zur Kenntnis gelangt. Von einer aktiven, fast missionierende Züge annehmenden Glaubensausübung kann jedenfalls im Falle des Beschwerdeführers nicht die Rede sein. Zudem ist darauf hinzuweisen, dass die diskrete und private Glaubensausübung im Iran auch ausserhalb des Islam grundsätzlich möglich ist (vgl. BVGE 2009/28 E. 7.4.2). Somit hat der Beschwerdeführer im Iran aufgrund seiner Konvertierung zum Christentum keine Verfolgung zu befürchten.</w:t>
      </w:r>
    </w:p>
    <w:p>
      <w:r>
        <w:rPr>
          <w:b/>
        </w:rPr>
        <w:t>E. 5.3</w:t>
      </w:r>
    </w:p>
    <w:p>
      <w:r>
        <w:t>Zusammenfassend ist festzustellen, dass es dem Beschwerdeführer nicht gelungen ist, nachzuweisen oder zumindest glaubhaft zu machen, dass er in der Heimat ernsthafte Nachteile erlitten hat oder solche bei der Ausreise zu befürchten hatte beziehungsweise im Fall der Rückkehr in den Iran befürchten müsste. Nach dem Gesagten erübrigt es sich, auf die weiteren Ausführungen und Einwände in der Beschwerde sowie der Eingabe vom 24. April 2012 und die eingereichten Beweismittel weiter einzugehen, da sie am Ergebnis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würden, besteht mithin nicht.</w:t>
      </w:r>
    </w:p>
    <w:p>
      <w:r>
        <w:rPr>
          <w:b/>
        </w:rPr>
        <w:t>E. 7.3.3</w:t>
      </w:r>
    </w:p>
    <w:p>
      <w:r>
        <w:t>Der - soweit aktenkundig - nicht unter nennenswerten gesundheitlichen Problemen leidende Beschwerdeführer wohnte vor seiner Ausreise aus dem Iran zusammen mit seinem Vater in E._______. Nach Angaben des Beschwerdeführers lebt sein Vater nach wie vor in dieser Stadt. Zudem ist anzunehmen, dass der Beschwerdeführer in E._______ über zahlreiche Freunde und Bekannte verfügt, da er den grössten Teil seines Lebens dort verbracht hat. Es ist deshalb zu schliessen, dass er bei einer Rückkehr in den Iran ein soziales Netz vorfinden wird, welches ihn bei Bedarf insbesondere bei der Beschaffung von Wohnraum sowie bei der Stellensuche unterstützen könnte. Überdies verfügt der Beschwerdeführer über eine gute Schulbildung sowie Berufserfahrung als (...), (...) und (...) (A 1/10 S. 2, A 10/15 S. 4), weshalb anzunehmen ist, er könne sich in seiner Heimat auch in wirtschaftlicher Hinsicht wieder integrieren. Blosse soziale und wirtschaftliche Schwierigkeiten, von denen die ansässige Bevölkerung im Allgemeinen betroffen ist, genügen nicht, um eine Gefährdung im Sinne von Art. 83 Abs. 4 AuG darzustellen (vgl. BVGE 2008/34 E. 11.2.2).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Die vorliegende Beschwerde ist als mutwillig im Sinne von Art. 2 Abs. 2 des Reglements vom 21. Februar 2008 über die Kosten und Entschädigungen vor dem Bundesverwaltungsgericht (VGKE, SR 173.320.2) zu bezeichnen (vgl. Bst. G. vorstehend), weswegen erhöhte Verfahrenskosten von Fr. 1'200.-- zu erheben sind, welche mit dem am 7. Mai 2012 in gleicher Höhe geleisteten Kostenvorschuss zu verrechnen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