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D-190/2024 vom 21. März 2024</w:t>
      </w:r>
    </w:p>
    <w:p>
      <w:r>
        <w:t>Bundesverwaltungsgericht, 2024-03-21, FR</w:t>
      </w:r>
    </w:p>
    <w:p>
      <w:r>
        <w:rPr>
          <w:b/>
        </w:rPr>
        <w:t xml:space="preserve">Quelle: </w:t>
      </w:r>
      <w:r>
        <w:t>https://mcp.opencaselaw.ch/entscheid/bvger_D-190_2024</w:t>
      </w:r>
    </w:p>
    <w:p>
      <w:r>
        <w:t>FR: TAF D-190/2024 du 21 mars 2024</w:t>
      </w:r>
    </w:p>
    <w:p>
      <w:r>
        <w:t>IT: TAF D-190/2024 del 21 marzo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qualité pour recourir, pour eux-mêmes et leurs enfants (art. 48 al. 1 PA). Présenté dans la forme (art. 52 al. 1 PA) et le délai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1.4</w:t>
      </w:r>
    </w:p>
    <w:p>
      <w:r>
        <w:t>Le Tribunal n'étant pas lié par les motifs invoqués à l'appui du recours (art. 62 al. 4 PA), ni par les considérants de la décision attaquée, il peut admettre ou rejeter le pourvoi pour d'autres motifs que ceux invoqués</w:t>
      </w:r>
    </w:p>
    <w:p>
      <w:r>
        <w:t>D-190/2024 Page 6 (cf. THOMAS HÄBERLI in : Waldmann/Krauskopf [éd.], Praxiskommentar zum Bundesgesetz über das Verwaltungsverfahren, 3ème éd. 2023, ad art. 62 PA no 43 ss).</w:t>
      </w:r>
    </w:p>
    <w:p>
      <w:r>
        <w:rPr>
          <w:b/>
        </w:rPr>
        <w:t>E. 1.5</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1.6</w:t>
      </w:r>
    </w:p>
    <w:p>
      <w:r>
        <w:t>Il est renoncé à un échange d’écriture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w:t>
      </w:r>
    </w:p>
    <w:p>
      <w:r>
        <w:t>D-190/2024 Page 7 suffit pas, dans cette optique, de se référer à des menaces hypothétiques, qui pourraient se produire dans un avenir plus ou moins lointain (cf. ATAF 2011/50 consid. 3.1.1 et réf. cit.).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(cf. ATAF 2011/50 consid. 3.1.2).</w:t>
      </w:r>
    </w:p>
    <w:p>
      <w:r>
        <w:rPr>
          <w:b/>
        </w:rPr>
        <w:t>E. 3</w:t>
      </w:r>
    </w:p>
    <w:p>
      <w:r>
        <w:t>En premier lieu, il convient d’examiner si le SEM a écarté à juste titre les craintes de persécutions réfléchies des recourants en raison de l’environnement familial de B._______.</w:t>
      </w:r>
    </w:p>
    <w:p>
      <w:r>
        <w:rPr>
          <w:b/>
        </w:rPr>
        <w:t>E. 3.1</w:t>
      </w:r>
    </w:p>
    <w:p>
      <w:r>
        <w:t>Il y a persécution réfléchie lorsque des proches de personnes persécutées sont exposés à des représailles, que ce soit pour obtenir des informations au sujet de la personne persécutée, pour punir la famille dans son ensemble pour les activités de cette personne ou pour contraindre cette dernière à cesser ses activités. L'intensité du risque de persécution réfléchie doit être appréciée en fonction des circonstances du cas d'espèce. Dans l'évaluation des circonstances concrètes et objectives, on tient également compte de la situation générale du pays d'origine en matière de droits humains, des modèles de persécution « usuellement » appliqués ainsi que du comportement général des organes étatiques à l'égard de personnes ou groupes de personnes dont la situation est comparable à celle du requérant d'asile (cf. ATAF 2010/57 consid. 4.1.3 et réf. cit.).</w:t>
      </w:r>
    </w:p>
    <w:p>
      <w:r>
        <w:rPr>
          <w:b/>
        </w:rPr>
        <w:t>E. 3.2</w:t>
      </w:r>
    </w:p>
    <w:p>
      <w:r>
        <w:t>En l’occurrence, il apparaît que l’emprisonnement du frère du prénommé ne permet pas à lui seul de considérer un risque de persécution réfléchie, car les arrestations alléguées n’avaient pas son environnement</w:t>
      </w:r>
    </w:p>
    <w:p>
      <w:r>
        <w:t>D-190/2024 Page 8 familial comme motif. À cet égard, B._______ n’a jamais été maintenu en détention après chaque arrestation subie. Concernant l’arrestation de (…) 2020, le prénommé a déclaré avoir été principalement soupçonné d’apporter une aide humanitaire au Parti démocratique des peuples (cf. procès-verbal [ci-après : p.-v.] du 4 avril 2023, Q40 p. 8) ; les policiers avaient également mentionné la présence de son frère en prison, sans pour autant chercher à obtenir divers renseignements à ce sujet. L’intéressé a toutefois été libéré le lendemain de son interpellation, sans être inquiété par la suite. Lors de la dernière perquisition domiciliaire, en (…) 2022, les policiers l’ont questionné sur son cousin, parti rejoindre les rangs de la guérilla en 2011, sans l’interpeller à cette occasion (cf. p.-v. du</w:t>
      </w:r>
    </w:p>
    <w:p>
      <w:r>
        <w:rPr>
          <w:b/>
        </w:rPr>
        <w:t>E. 4</w:t>
      </w:r>
    </w:p>
    <w:p>
      <w:r>
        <w:t>En second lieu, il reste à déterminer si les recourants peuvent se prévaloir de pressions psychiques insupportables.</w:t>
      </w:r>
    </w:p>
    <w:p>
      <w:r>
        <w:rPr>
          <w:b/>
        </w:rPr>
        <w:t>E. 4.1</w:t>
      </w:r>
    </w:p>
    <w:p>
      <w:r>
        <w:t>À cet égard, les exigences mises par la jurisprudence pour la reconnaissance d'une telle pression psychique insupportable sont élevées.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w:t>
      </w:r>
    </w:p>
    <w:p>
      <w:r>
        <w:t>D-190/2024 Page 9 situation analogue aurait été contrainte de fuir le pays (cf. ATAF 2010/28 consid. 3.3.1.1).</w:t>
      </w:r>
    </w:p>
    <w:p>
      <w:r>
        <w:rPr>
          <w:b/>
        </w:rPr>
        <w:t>E. 4.2</w:t>
      </w:r>
    </w:p>
    <w:p>
      <w:r>
        <w:t>En l’espèce, les divers préjudices subis lors des interventions policières au domicile des recourants n’atteignent pas les exigences élevées de la jurisprudence susmentionnée. En particulier, B._______ a été systématiquement relâché par la police après un interrogatoire et n’a jamais été autrement inquiété par les autorités. La fausse couche subie par A._______ à la suite d’une de ces perquisitions ne modifie pas cette appréciation. Sans remettre en question son caractère traumatisant, un tel événement n’est pas non plus à même, à lui seul, de considérer une pression psychique insupportable, quand bien même l’intervention policière en serait la source probable (cf. p.-v. de la recourante du</w:t>
      </w:r>
    </w:p>
    <w:p>
      <w:r>
        <w:rPr>
          <w:b/>
        </w:rPr>
        <w:t>E. 5</w:t>
      </w:r>
    </w:p>
    <w:p>
      <w:r>
        <w:t>Il convient pour le surplus de renvoyer aux considérants de la décision attaquée dès lors que ceux-ci sont suffisamment explicites et motivés (art. 109 al. 3 LTF, par renvoi de l'art. 4 PA).</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w:t>
      </w:r>
    </w:p>
    <w:p>
      <w:r>
        <w:t>novembre 2022, Q39 p. 8). Rien au dossier ne laisse à penser que les autorités auraient fait trébucher volontairement la recourante, parce qu’elle était enceinte. Les recourants ne le soutenant du reste pas. 5. Il convient pour le surplus de renvoyer aux considérants de la décision attaquée dès lors que ceux-ci sont suffisamment explicites et motivés (art. 109 al. 3 LTF, par renvoi de l’art. 4 PA). 6.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7. 7.1 L'exécution du renvoi est ordonnée si elle est licite, raisonnablement exigible et possible. Si ces conditions ne sont pas réunies, l'admission provisoire doit être prononcée. Celle-ci est réglée par l'art. 83 LEI. 7.2 L'exécution n'est pas licite lorsque le renvoi de l'étranger dans son Etat d'origine ou de provenance ou dans un Etat tiers est contraire aux engagements de la Suisse relevant du droit international (art. 83 al. 3 LEI).</w:t>
      </w:r>
    </w:p>
    <w:p>
      <w:r>
        <w:t>D-190/2024 Page 10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7.3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7.4 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w:t>
      </w:r>
    </w:p>
    <w:p>
      <w:r>
        <w:rPr>
          <w:b/>
        </w:rPr>
        <w:t>E. 8.2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w:t>
      </w:r>
    </w:p>
    <w:p>
      <w:r>
        <w:t>D-190/2024 Page 11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Sous l'angle médical,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précité, par. 31 ss ; S.J. c. Belgique du 27 février 2014, n° 70055/10, par. 119-120 ; N. c. Royaume Uni du 27 mai 2008,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w:t>
      </w:r>
    </w:p>
    <w:p>
      <w:r>
        <w:rPr>
          <w:b/>
        </w:rPr>
        <w:t>E. 8.5</w:t>
      </w:r>
    </w:p>
    <w:p>
      <w:r>
        <w:t>En l'occurrence, le Tribunal relève que les recourants n’ont présenté aucun élément concret et sérieux permettant d’admettre qu’ils seraient exposés en Turquie à des traitements inhumains ou dégradants (art. 3 CEDH et 3 Conv. torture). Concernant les troubles médicaux allégués, en particulier ceux dont souffrent A._______ et C._______, il convient de noter que ceux-ci n’apparaissent pas d’une gravité telle que l’exécution de leur renvoi dans leur pays serait illicite au regard de l’art. 3 CEDH, étant en outre rappelé qu’un traitement suffisant est accessible en Turquie (voir aussi les consid. 9.4.2 et 9.4.3 ci-après).</w:t>
      </w:r>
    </w:p>
    <w:p>
      <w:r>
        <w:rPr>
          <w:b/>
        </w:rPr>
        <w:t>E. 8.6</w:t>
      </w:r>
    </w:p>
    <w:p>
      <w:r>
        <w:t>Dès lors, l'exécution du renvoi des recourants sous forme de refoulement ne transgresse aucun engagement de la Suisse relevant du</w:t>
      </w:r>
    </w:p>
    <w:p>
      <w:r>
        <w:t>D-190/2024 Page 12 droit international, de sorte qu'elle s'avère licite (art. 44 LAsi et art. 83 al. 3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(art. 3 de la convention du 20 novembre 1989 relative aux droits de l'enfant (ci-après : CDE [RS 0.107]), il convient d’admettre une mise en danger concrète sur la base d’exigences moins élevées que pour des personnes non spécifiquement vulnérables (cf. ATAF 2014/26 consid.7.6). 9.2 En outre, de jurisprudence constante, les difficultés socio-économiques auxquelles doit faire face la population locale ne suffisent pas en soi à réaliser une mise en danger concrète au sens de l’art. 83 al. 4 LEI (cf. notamment ATAF 2010/41 consid. 8.3.6).</w:t>
      </w:r>
    </w:p>
    <w:p>
      <w:r>
        <w:t>D-190/2024 Page 13 9.3 Il est notoire que la Turquie ne connaît pas une situation de guerre, de guerre civile ou de violence généralisée qui permettrait d'emblée – indépendamment des circonstances du cas d'espèce – de présumer, à propos de tous les ressortissants du pays, l'existence d'une mise en danger concrète au sens de l'art. 83 al. 4 LEI. Cela dit, le renvoi est en principe inexigible vers les provinces de Sirnak et de Hakkari, qui connaissent une situation de violence généralisée (cf. ATAF 2013/2 consid. 9.2.2 à 9.6.1). En l’espèce, bien qu’ils viennent de la province de E._______, les intéressés seront en mesure de se réinstaller dans une autre région. Ils sont en effet au bénéfice de formations universitaires et d’expériences professionnelles. Les requérants maîtrisent de surcroît les deux langues parlées en Turquie. Au demeurant, ils n’ont apporté aucun élément laissant à penser qu’ils sont dans l’incapacité de s’installer dans une autre région de cet Etat. 9.4 Il s’agit à présent d’examiner si l’état de santé des recourants est constitutif d’empêchement à l’exécution du renvoi. Ces derniers font en substance valoir qu’un retour en Turquie les exposerait à une dégradation grave de leur état de santé mentale. 9.4.1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w:t>
      </w:r>
    </w:p>
    <w:p>
      <w:r>
        <w:t>D-190/2024 Page 14 et notablement plus grave de son intégrité physique ou psychique (cf. ATAF 2011/50 consid. 8.3 ; 2009/2 consid. 9.3.2, et réf. cit.). 9.4.2 Il ressort des pièces figurant au dossier de première instance que A._______ souffre de troubles psychiques, notamment consécutifs aux (…) et aux perquisitions domiciliaires entre 2020 et 2022 (cf. p.-v. de la recourante du 8 novembre 2022, Q38 p. 6 et 7). Malgré l’indication contenue dans le recours, aucun document médical actualisé n’a été transmis au Tribunal. Cela étant, par appréciation anticipée, il n’y a ainsi pas lieu d’entrer en matière sur la demande implicite de production de documents médicaux. En tout état de cause, elle pourra bénéficier d’un suivi thérapeutique en Turquie, où les soins dont disponibles. Cet Etat dispose en effet de centres hospitaliers spécialisés dans les maladies mentales, de nombreuses divisions psychiatriques dans les « General Hospital », ainsi que d'une couverture d'assurance maladie gratuite pour les personnes vulnérables (cf. arrêt du Tribunal E-4993/2023 du 22 février 2024 consid. 8.3 et réf. cit.). 9.4.3 Selon le rapport médical du 20 décembre 2023, C._______ souffre d’un TSPT se manifestant par des cauchemars répétés, ainsi que des terreurs nocturnes ; il présente également des épisodes dissociatifs et une angoisse de séparation importante. Il y est aussi indiqué qu’une rupture thérapeutique risquerait de faire régresser le prénommé, avec des répercussions durables sur son développement, raison pour laquelle il est important de maintenir le traitement. Les symptômes constatés ne sont toutefois pas d’une gravité telle à mettre concrètement en danger sa vie ou à une atteinte sérieuse, durable, et notamment plus grave à son intégrité psychique. Selon les sources à disposition du Tribunal, la Turquie possède également des infrastructures médicales suffisantes afin de traiter les problèmes psychiques pédiatriques (cf. UK Home Office, Country Policy and Information Note Turkey : Medical and healthcare provision, avril 2021 &lt; https://www.ecoi.net/en/file/local/2049913/CPIN_-_Turkey_-_Medical_ and_healthcare._FINAL._APRIL_2021.pdf &gt;, p. 31 [consulté le 11 mars 2024]). 9.4.4 Il apparaît en conséquence, au vu de ce qui précède, que les troubles psychiques de A._______ et C._______, sans vouloir les minimiser, ne sont pas de nature à empêcher l’exécution du renvoi. 9.5 Il reste encore à examiner la situation des enfants sous l’angle de l’intérêt supérieur de l’enfant (art. 3 al. 1 CDE).</w:t>
      </w:r>
    </w:p>
    <w:p>
      <w:r>
        <w:t>D-190/2024 Page 15 9.5.1 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 9.5.2 En l’espèce, arrivé à l’âge de (…) ans en Suisse, C._______ en a désormais (…). Au vu de son âge et de son parcours de vie, il y a lieu de considérer qu’il reste étroitement lié aux membres de sa famille, avec qui il partage sa vie quotidienne. La relative courte durée de séjour en Suisse ne permet pas d’affirmer que le prénommé ait été si imprégné du contexte culturel suisse qu’il conviendra de renoncer à l’exécution du renvoi. Âgée de (…) ans, D._______ est exclusivement dépendante de ses parents. Les enfants seront ainsi en mesure, après d’éventuelles difficultés initiales d’adaptation, de se réintégrer dans leur pays d’origine. 9.5.3 Au vu de ce qui précède, l’intérêt supérieur de l’enfant au sens de l’art. 3 al. 1 CDE ne fait pas non plus obstacle au retour de la famille en Turquie (cf. ATAF 2009/51 consid. 5.6 ; 2009/28 consid. 9.3.2 et réf. cit.). 9.6 En conclusion, le renvoi des recourants et de leurs enfants ne les met pas concrètement en danger au sens de l’art. 83 al. 4 LEI. Le grief de la</w:t>
      </w:r>
    </w:p>
    <w:p>
      <w:r>
        <w:t>D-190/2024 Page 16 violation de cette disposition légale doit être rejeté et l’exécution du renvoi doit être considérée comme raisonnablement exigible.</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De même, lorsqu'il y a lieu de réserver à l'intérêt supérieur de l'enfant une considération primordiale (art. 3 de la convention du 20 novembre 1989 relative aux droits de l'enfant (ci-après : CDE [RS 0.107]), il convient d'admettre une mise en danger concrète sur la base d'exigences moins élevées que pour des personnes non spécifiquement vulnérables (cf. ATAF 2014/26 consid.7.6).</w:t>
      </w:r>
    </w:p>
    <w:p>
      <w:r>
        <w:rPr>
          <w:b/>
        </w:rPr>
        <w:t>E. 9.2</w:t>
      </w:r>
    </w:p>
    <w:p>
      <w:r>
        <w:t>En outre, de jurisprudence constante, les difficultés socio-économiques auxquelles doit faire face la population locale ne suffisent pas en soi à réaliser une mise en danger concrète au sens de l'art. 83 al. 4 LEI (cf. notamment ATAF 2010/41 consid. 8.3.6).</w:t>
      </w:r>
    </w:p>
    <w:p>
      <w:r>
        <w:rPr>
          <w:b/>
        </w:rPr>
        <w:t>E. 9.3</w:t>
      </w:r>
    </w:p>
    <w:p>
      <w:r>
        <w:t>Il est notoire que la Turquie ne connaît pas une situation de guerre, de guerre civile ou de violence généralisée qui permettrait d'emblée - indépendamment des circonstances du cas d'espèce - de présumer, à propos de tous les ressortissants du pays, l'existence d'une mise en danger concrète au sens de l'art. 83 al. 4 LEI. Cela dit, le renvoi est en principe inexigible vers les provinces de Sirnak et de Hakkari, qui connaissent une situation de violence généralisée (cf. ATAF 2013/2 consid. 9.2.2 à 9.6.1). En l'espèce, bien qu'ils viennent de la province de E._______, les intéressés seront en mesure de se réinstaller dans une autre région. Ils sont en effet au bénéfice de formations universitaires et d'expériences professionnelles. Les requérants maîtrisent de surcroît les deux langues parlées en Turquie. Au demeurant, ils n'ont apporté aucun élément laissant à penser qu'ils sont dans l'incapacité de s'installer dans une autre région de cet Etat.</w:t>
      </w:r>
    </w:p>
    <w:p>
      <w:r>
        <w:rPr>
          <w:b/>
        </w:rPr>
        <w:t>E. 9.4</w:t>
      </w:r>
    </w:p>
    <w:p>
      <w:r>
        <w:t>Il s'agit à présent d'examiner si l'état de santé des recourants est constitutif d'empêchement à l'exécution du renvoi. Ces derniers font en substance valoir qu'un retour en Turquie les exposerait à une dégradation grave de leur état de santé mentale.</w:t>
      </w:r>
    </w:p>
    <w:p>
      <w:r>
        <w:rPr>
          <w:b/>
        </w:rPr>
        <w:t>E. 9.4.1</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réf. cit.).</w:t>
      </w:r>
    </w:p>
    <w:p>
      <w:r>
        <w:rPr>
          <w:b/>
        </w:rPr>
        <w:t>E. 9.4.2</w:t>
      </w:r>
    </w:p>
    <w:p>
      <w:r>
        <w:t>Il ressort des pièces figurant au dossier de première instance que A._______ souffre de troubles psychiques, notamment consécutifs aux (...) et aux perquisitions domiciliaires entre 2020 et 2022 (cf. p.-v. de la recourante du 8 novembre 2022, Q38 p. 6 et 7). Malgré l'indication contenue dans le recours, aucun document médical actualisé n'a été transmis au Tribunal. Cela étant, par appréciation anticipée, il n'y a ainsi pas lieu d'entrer en matière sur la demande implicite de production de documents médicaux. En tout état de cause, elle pourra bénéficier d'un suivi thérapeutique en Turquie, où les soins dont disponibles. Cet Etat dispose en effet de centres hospitaliers spécialisés dans les maladies mentales, de nombreuses divisions psychiatriques dans les « General Hospital », ainsi que d'une couverture d'assurance maladie gratuite pour les personnes vulnérables (cf. arrêt du Tribunal E-4993/2023 du 22 février 2024 consid. 8.3 et réf. cit.).</w:t>
      </w:r>
    </w:p>
    <w:p>
      <w:r>
        <w:rPr>
          <w:b/>
        </w:rPr>
        <w:t>E. 9.4.3</w:t>
      </w:r>
    </w:p>
    <w:p>
      <w:r>
        <w:t>Selon le rapport médical du 20 décembre 2023, C._______ souffre d'un TSPT se manifestant par des cauchemars répétés, ainsi que des terreurs nocturnes ; il présente également des épisodes dissociatifs et une angoisse de séparation importante. Il y est aussi indiqué qu'une rupture thérapeutique risquerait de faire régresser le prénommé, avec des répercussions durables sur son développement, raison pour laquelle il est important de maintenir le traitement. Les symptômes constatés ne sont toutefois pas d'une gravité telle à mettre concrètement en danger sa vie ou à une atteinte sérieuse, durable, et notamment plus grave à son intégrité psychique. Selon les sources à disposition du Tribunal, la Turquie possède également des infrastructures médicales suffisantes afin de traiter les problèmes psychiques pédiatriques (cf. UK Home Office, Country Policy and Information Note Turkey : Medical and healthcare provision, avril 2021 &lt; https://www.ecoi.net/en/file/local/2049913/CPIN_-_Turkey_-_Medical_and_healthcare._FINAL._APRIL_2021.pdf &gt;, p. 31 [consulté le 11 mars 2024]).</w:t>
      </w:r>
    </w:p>
    <w:p>
      <w:r>
        <w:rPr>
          <w:b/>
        </w:rPr>
        <w:t>E. 9.4.4</w:t>
      </w:r>
    </w:p>
    <w:p>
      <w:r>
        <w:t>Il apparaît en conséquence, au vu de ce qui précède, que les troubles psychiques de A._______ et C._______, sans vouloir les minimiser, ne sont pas de nature à empêcher l'exécution du renvoi.</w:t>
      </w:r>
    </w:p>
    <w:p>
      <w:r>
        <w:rPr>
          <w:b/>
        </w:rPr>
        <w:t>E. 9.5</w:t>
      </w:r>
    </w:p>
    <w:p>
      <w:r>
        <w:t>Il reste encore à examiner la situation des enfants sous l'angle de l'intérêt supérieur de l'enfant (art. 3 al. 1 CDE).</w:t>
      </w:r>
    </w:p>
    <w:p>
      <w:r>
        <w:rPr>
          <w:b/>
        </w:rPr>
        <w:t>E. 9.5.1</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w:t>
      </w:r>
    </w:p>
    <w:p>
      <w:r>
        <w:rPr>
          <w:b/>
        </w:rPr>
        <w:t>E. 9.5.2</w:t>
      </w:r>
    </w:p>
    <w:p>
      <w:r>
        <w:t>En l'espèce, arrivé à l'âge de (...) ans en Suisse, C._______ en a désormais (...). Au vu de son âge et de son parcours de vie, il y a lieu de considérer qu'il reste étroitement lié aux membres de sa famille, avec qui il partage sa vie quotidienne. La relative courte durée de séjour en Suisse ne permet pas d'affirmer que le prénommé ait été si imprégné du contexte culturel suisse qu'il conviendra de renoncer à l'exécution du renvoi. Âgée de (...) ans, D._______ est exclusivement dépendante de ses parents. Les enfants seront ainsi en mesure, après d'éventuelles difficultés initiales d'adaptation, de se réintégrer dans leur pays d'origine.</w:t>
      </w:r>
    </w:p>
    <w:p>
      <w:r>
        <w:rPr>
          <w:b/>
        </w:rPr>
        <w:t>E. 9.5.3</w:t>
      </w:r>
    </w:p>
    <w:p>
      <w:r>
        <w:t>Au vu de ce qui précède, l'intérêt supérieur de l'enfant au sens de l'art. 3 al. 1 CDE ne fait pas non plus obstacle au retour de la famille en Turquie (cf. ATAF 2009/51 consid. 5.6 ; 2009/28 consid. 9.3.2 et réf. cit.).</w:t>
      </w:r>
    </w:p>
    <w:p>
      <w:r>
        <w:rPr>
          <w:b/>
        </w:rPr>
        <w:t>E. 9.6</w:t>
      </w:r>
    </w:p>
    <w:p>
      <w:r>
        <w:t>En conclusion, le renvoi des recourants et de leurs enfants ne les met pas concrètement en danger au sens de l'art. 83 al. 4 LEI. Le grief de la violation de cette disposition légale doit être rejeté et l'exécution du renvoi doit être considérée comme raisonnablement exigible.</w:t>
      </w:r>
    </w:p>
    <w:p>
      <w:r>
        <w:rPr>
          <w:b/>
        </w:rPr>
        <w:t>E. 10</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étant rappelé qu’ils sont tenus de collaborer à l’obtention de tels documents (art. 8 al. 4 LAsi).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w:t>
      </w:r>
    </w:p>
    <w:p>
      <w:r>
        <w:t>Le recours s'avérant manifestement infondé, il est rejeté dans une procédure à juge unique, avec l'approbation d'une seconde juge (art. 111 let. e LAsi).</w:t>
      </w:r>
    </w:p>
    <w:p>
      <w:r>
        <w:rPr>
          <w:b/>
        </w:rPr>
        <w:t>E. 13</w:t>
      </w:r>
    </w:p>
    <w:p>
      <w:r>
        <w:t>Dans la mesure où les conclusions du recours étaient d'emblée vouées à l'échec, la requête d'assistance judiciaire totale doit être rejetée (art. 65 al. 1 PA et art. 102m al. 1 let. a LAsi).</w:t>
      </w:r>
    </w:p>
    <w:p>
      <w:r>
        <w:rPr>
          <w:b/>
        </w:rPr>
        <w:t>E. 14</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 page suivante)</w:t>
      </w:r>
    </w:p>
    <w:p>
      <w:r>
        <w:t>D-190/2024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