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D-1907/2023 vom 13. März 2023</w:t>
      </w:r>
    </w:p>
    <w:p>
      <w:r>
        <w:t>Bundesverwaltungsgericht, 2023-03-13, IT</w:t>
      </w:r>
    </w:p>
    <w:p>
      <w:r>
        <w:rPr>
          <w:b/>
        </w:rPr>
        <w:t xml:space="preserve">Quelle: </w:t>
      </w:r>
      <w:r>
        <w:t>https://mcp.opencaselaw.ch/entscheid/bvger_D-1907_2023_d20230313</w:t>
      </w:r>
    </w:p>
    <w:p>
      <w:r>
        <w:t>FR: TAF D-1907/2023 du 13 mars 2023</w:t>
      </w:r>
    </w:p>
    <w:p>
      <w:r>
        <w:t>IT: TAF D-1907/2023 del 13 marzo 2023</w:t>
      </w:r>
    </w:p>
    <w:p>
      <w:pPr>
        <w:pStyle w:val="Heading2"/>
      </w:pPr>
      <w:r>
        <w:t>Regeste</w:t>
      </w:r>
    </w:p>
    <w:p>
      <w:r>
        <w:t>Asilo e allontanamento (procedura celere) | Asilo e allontanamento (procedura celere); decisione della SEM del 13 marzo 2023</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La giudice unica: La cancelliera: Chiara Piras Sebastiana Bosshardt Data di spedizione:</w:t>
      </w:r>
    </w:p>
    <w:p>
      <w:r>
        <w:rPr>
          <w:b/>
        </w:rPr>
        <w:t>E. 12</w:t>
      </w:r>
    </w:p>
    <w:p>
      <w:r>
        <w:t>aprile 2023); che gli effetti di questa catastrofe naturale non sono quindi un ostacolo all'esecuzione di un provvedimento di espulsione,</w:t>
      </w:r>
    </w:p>
    <w:p>
      <w:r>
        <w:t>D-1907/2023 Pagina 9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che pertanto il ricorso va respinto, che avendo il Tribunale statuito nel merito del ricorso, la domanda di esen- zione dal versamento di un anticipo equivalente alle presunte spese pro- cessuali è divenuta senza oggetto, che infine, ritenute le allegazioni ricorsuali sprovviste di probabilità di esito favorevole, la domanda di assistenza giudiziaria, nel senso della dispensa dal pagamento delle spese processuali, è respinta (art. 65 cpv. 1 PA), che, 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D-1907/2023 Pagina 10 il Tribunale amministrativo federale pronuncia: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