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D-1907/2014 vom 29. April 2014</w:t>
      </w:r>
    </w:p>
    <w:p>
      <w:r>
        <w:t>Bundesverwaltungsgericht, 2014-04-29, DE</w:t>
      </w:r>
    </w:p>
    <w:p>
      <w:r>
        <w:rPr>
          <w:b/>
        </w:rPr>
        <w:t xml:space="preserve">Quelle: </w:t>
      </w:r>
      <w:r>
        <w:t>https://mcp.opencaselaw.ch/entscheid/bvger_D-1907_2014</w:t>
      </w:r>
    </w:p>
    <w:p>
      <w:r>
        <w:t>FR: TAF D-1907/2014 du 29 avril 2014</w:t>
      </w:r>
    </w:p>
    <w:p>
      <w:r>
        <w:t>IT: TAF D-1907/2014 del 29 aprile 2014</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im Beschwerdeverfahren möglichen Rügegründe und die Kognition des Bundesverwaltungsgerichts ergeben sich aus Art. 106 Abs. 1 AsylG, soweit das AsylG zur Anwendung gelangt, beziehungsweise aus Art. 112 AuG i.V.m. Art. 49 VwVG, soweit das AuG zur Anwendung gelangt.</w:t>
      </w:r>
    </w:p>
    <w:p>
      <w:r>
        <w:rPr>
          <w:b/>
        </w:rPr>
        <w:t>E. 3.1</w:t>
      </w:r>
    </w:p>
    <w:p>
      <w:r>
        <w:t>Über offensichtlich 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Gemäss den Rechtsbegehren richtet sich die Beschwerde ausschliesslich gegen den angeordneten Vollzug der Wegweisung. Die Ziffern 1 bis 3 des Dispositivs der angefochtenen Verfügung (Feststellung der fehlenden Flüchtlingseigenschaft, Ablehnung des Asylgesuchs und Wegweisung aus der Schweiz) sind demnach mangels Anfechtung rechtskräftig geworden.</w:t>
      </w:r>
    </w:p>
    <w:p>
      <w:r>
        <w:rPr>
          <w:b/>
        </w:rPr>
        <w:t>E. 5.1</w:t>
      </w:r>
    </w:p>
    <w:p>
      <w:r>
        <w:t>Im Asyl- und Wegweisungsverfahren gilt der Untersuchungsgrundsatz. Die Asylbehörde hat deshalb den rechtserheblichen Sachverhalt vor ihrem Entscheid von Amtes wegen vollständig und richtig abzuklären (Art. 6 AsylG i.V.m. Art. 12 VwVG), wobei sie die für das Verfahren erforderlichen Sachverhaltsunterlagen beschaffen und die rechtlich relevanten Umstände abklären und darüber ordnungsgemäss Beweis führen muss. Unvollständig ist die Sachverhaltsfeststellung, wenn die angefochtene Verfügung nicht alle für den Entscheid rechtswesentlichen Sachumstände berücksichtigt (BVGE 2012/21 E. 5.1 S. 414 f.).</w:t>
      </w:r>
    </w:p>
    <w:p>
      <w:r>
        <w:rPr>
          <w:b/>
        </w:rPr>
        <w:t>E. 5.2</w:t>
      </w:r>
    </w:p>
    <w:p>
      <w:r>
        <w:t>Wie den vorinstanzlichen Akten entnommen werden kann, vermerkte der bei Anhörung der Beschwerdeführerin vom 3. März 2014 anwesende Hilfswerkvertreter nach deren Durchführung auf dem entsprechenden Unterschriftenblatt unter der Rubrik "Anregungen für weitere Sachverhaltsabklärungen", der psychische Zustand der Beschwerdeführerin sollte "dringendst" abgeklärt werden, da der Verdacht auf Selbstmord bestehe, falls sie einen negativen Asylentscheid erhalten würde (siehe Unterschriftenblatt der Hilfswerkvertretung in act. A7/10). Es ist aus den Akten nicht ersichtlich, dass das BFM diese Bemerkung der Hilfswerkvertretung zum Anlass genommen hätte, Abklärungen zum psychischen Zustand der Beschwerdeführerin in die Wege zu leiten. In der Verfügung vom 11. März 2014 äusserte sich das BFM zudem mit keinem Wort dazu, weshalb es diesbezüglich keine Abklärungen tätigte. Angesichts der Tatsache, dass die Beschwerdeführerin am 27. März 2014 tatsächlich wegen akuter Suizidalität in die UPK B._______ überführt werden musste, dort bis zum 11. April 2014 stationär behandelt wurde, sich noch am Tage ihrer Entlassung in suizidaler Absicht eine Selbstverletzung am Kopf zufügte und gleichentags wieder in die UPK B._______ eingeliefert werden musste, hat sich die Vermutung der Hilfswerkvertretung anlässlich der Anhörung bestätigt. Auch die im ärztlichen Austrittsbericht der UPK B._______ vom 11. April 2014 gestellten Diagnosen, wonach die Beschwerdeführerin an Anpassungsstörungen mit schwerer depressiver Reaktion beziehungsweise schwerer depressiver Episode (F43.20) leide und zusätzlich ein Verdacht auf eine emotional instabile Persönlichkeitsstörung/ Borderline Typ (F60.31) bestehe, weisen untrüglich darauf hin, dass den Verhaltensauffälligkeiten der Beschwerdeführerin Krankheitswert zukommt. Das BFM hat somit mit Blick auf allfällige medizinische Vollzugshindernisse im Sinne von Art. 83 Abs. 3 und 4 AuG den rechtserheblichen Sachverhalt nicht vollständig festgestellt, obschon nach dem Gesagten bereits im vorinstanzlichen Verfahren Anlass bestanden hat, nähere Abklärungen zur gesundheitlichen Situation der Beschwerdeführerin vorzunehmen.</w:t>
      </w:r>
    </w:p>
    <w:p>
      <w:r>
        <w:rPr>
          <w:b/>
        </w:rPr>
        <w:t>E. 5.3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5.1 S. 415). Vorliegend liegt der Mangel in einer unvollständigen Sachverhaltsfeststellung, wobei sich die erforderliche Entscheidungsreife für ein reformatorisches Urteil des Bundesverwaltungsgerichtes nicht mit geringem Aufwand herstellen lassen dürfte. Die Beschwerde ist daher gutzuheissen, die Dispositivziffern 4 und 5 der angefochtenen Verfügung aufzuheben und die Sache zur vollständigen Erhebung des rechtserheblichen Sachverhalts und zur Neubeurteilung an das BFM zurückzuweisen.</w:t>
      </w:r>
    </w:p>
    <w:p>
      <w:r>
        <w:rPr>
          <w:b/>
        </w:rPr>
        <w:t>E. 6.1</w:t>
      </w:r>
    </w:p>
    <w:p>
      <w:r>
        <w:t>Bei diesem Ausgang des Verfahrens sind keine Kosten zu erheben (Art. 63 Abs. 1 und 2 VwVG). Das Gesuch um Gewährung der unentgeltlichen Rechtspflege im Sinne von Art. 65 Abs. 1 VwVG ist damit gegen­standslos geworden.</w:t>
      </w:r>
    </w:p>
    <w:p>
      <w:r>
        <w:rPr>
          <w:b/>
        </w:rPr>
        <w:t>E. 6.2</w:t>
      </w:r>
    </w:p>
    <w:p>
      <w:r>
        <w:t>Der vertretenen Beschwerdeführerin ist angesichts des Ausgangs des Verfahrens in Anwendung von Art. 64 VwVG und Art. 7 Abs. 1 des Reglements vom 21. Februar 2008 über die Kosten und Entschädigungen vor dem Bundesverwaltungsgericht (VGKE, SR 173.320.2) eine Entschädigung für die ihr notwendigerweise erwachsenen Vertretungskosten zuzusprechen. Die Rechtsvertreterin hat keine detaillierte Kostennote zu den Akten gereicht, weshalb der notwendige Vertretungsaufwand gestützt auf die Akten festzusetzen ist. Unter Berücksichtigung der massgebenden Bemessungsfaktoren (Art. 9-13 VGKE) hat das BFM der Beschwerdeführerin eine Parteientschädigung in der Höhe von insgesamt Fr. 800.-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