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D-1904/2017 vom 3. August 2017</w:t>
      </w:r>
    </w:p>
    <w:p>
      <w:r>
        <w:t>Bundesverwaltungsgericht, 2017-08-03, FR</w:t>
      </w:r>
    </w:p>
    <w:p>
      <w:r>
        <w:rPr>
          <w:b/>
        </w:rPr>
        <w:t xml:space="preserve">Quelle: </w:t>
      </w:r>
      <w:r>
        <w:t>https://mcp.opencaselaw.ch/entscheid/bvger_D-1904_2017</w:t>
      </w:r>
    </w:p>
    <w:p>
      <w:r>
        <w:t>FR: TAF D-1904/2017 du 3 août 2017</w:t>
      </w:r>
    </w:p>
    <w:p>
      <w:r>
        <w:t>IT: TAF D-1904/2017 del 3 agosto 2017</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[RS 142.20] en relation avec l'art. 49 PA; voir aussi ATAF 2014/26, consid. 5).</w:t>
      </w:r>
    </w:p>
    <w:p>
      <w:r>
        <w:rPr>
          <w:b/>
        </w:rPr>
        <w:t>E. 1.4</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2.2</w:t>
      </w:r>
    </w:p>
    <w:p>
      <w:r>
        <w:t>Sont notamment considérés comme de sérieux préjudices la mise en danger de la vie, de l'intégrité corporelle ou de la liberté, de même que les mesures qui entraînent une pression psychique insupportable.</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3.1</w:t>
      </w:r>
    </w:p>
    <w:p>
      <w:r>
        <w:t>En l'occurrence, le Tribunal considère que les déclarations de l'intéressé ne répondent pas aux conditions de vraisemblance requises par l'art. 7 LAsi.</w:t>
      </w:r>
    </w:p>
    <w:p>
      <w:r>
        <w:rPr>
          <w:b/>
        </w:rPr>
        <w:t>E. 3.2</w:t>
      </w:r>
    </w:p>
    <w:p>
      <w:r>
        <w:t>D'abord, il s'est contredit sur l'identité de la personne qui lui aurait présenté S. et qui aurait surveillé celle-ci, la prénommant D._______ lors de sa première audition, puis E._______ lors de la seconde. L'explication selon laquelle il a cité D._______ en premier lieu, puis E._______, son frère, parce que leur magasin est connu sous ce nom et qu'il avait eu des problèmes avec la famille (...) n'est pas satisfaisante. En effet, en parlant de E._______, l'intéressé citait clairement une personne et non une raison sociale ou le nom d'une famille (cf. procès-verbal d'audition [pv.] du 30 janvier 2017, réponse à la question 27, p. 5 et 6 : « je connaissais un commerçant qui s'appelait E._______, celui-ci m'amenait des clientes », « E._______ m'a présenté une cliente », « E._______ avait senti qu'il y avait quelque chose entre moi et cette femme », « E._______ a commencé à se douter de quelque chose », « je ne sais pas si E._______ a commencé à surveiller cette femme », « E._______ entrait à son tour dans mon atelier », « E._______ a frappé à la porte », «E._______ avait informé sa famille »). Ensuite, l'intéressé s'est aussi contredit sur la durée de sa prétendue relation entretenue avec S., affirmant tantôt qu'elle avait duré un mois à un mois et demi (cf. pv. du 18 novembre 2015, pt. 7.02, p. 7), tantôt trois, quatre, voir cinq mois (cf. pv. du 30 janvier 2017, réponse à la question 43, p. 8). Contrairement à ce qu'il vise à faire accroire, la question posée par l'auditeur lors de la première audition (« wann haben Sie diese Beziehung mit dieser Frau begonnen ? ») ne sous-entendait pas la durée de leurs relations intimes. Ce n'est que suite à cette question que la nature de leurs relations a été abordé (« welcher Art war Ihre Beziehung zu dieser Frau ? »). L'intéressé s'est encore contredit en affirmant dans un premier temps avoir appris par un téléphone de S., qu'elle était en réalité mariée, que sa famille avait appris leur relation et qu'il devait se méfier, ou, au contraire, que E._______ les avait surpris dans son atelier et les avait menacé de dévoiler leurs relations à la famille de S. (cf. pv. du 18 novembre 2015, ch. 7.01 et pv. du 30 janvier 2017, réponse à la question 27, p. 5 s.) De plus, dans le contexte irakien, si l'intéressé avait eu une relation avec S. sur plusieurs mois, il aurait sans aucun doute pris la précaution de s'informer sur son nom et de lui faire préciser son état civil, ne se contentant pas de son affirmation selon laquelle elle était séparée (cf. pv. du 30 janvier 2017, réponses aux questions 39 à 42, p. 8). Pareille précaution paraît d'autant plus évidente que l'intéressé aurait senti que E._______, qui « s'attendait de lui qu'il s'occupe bien de ses clients » (cf. recours p. 3), aurait remarqué qu'il se passait quelque chose entre lui et S. et qu'il les aurait surveillés lors des visites de S. au magasin (cf. pv. du 30 janvier 2017, réponse à la question 27, p. 5). Les documents produits par le recourant à l'appui de sa demande d'asile n'ont qu'une faible valeur probante et ne sont en tout état de cause pas de nature à expliquer les invraisemblances majeures qui émaillent son récit. D'autant que le mandat d'arrêt du 24 novembre 2015 est une photocopie, donc susceptible de manipulation, et comporte une erreur relevée à juste titre par le SEM quant à l'âge de l'intéressé. S'agissant de l'attestation de C._______ du 16 mars 2017, elle mentionne qu'une personne prénommée S. a séjourné dans ce centre du 20 octobre 2015 au 1er décembre 2015, mais ne contient rien qui serait susceptible de confirmer la vraisemblance des motifs d'asile de l'intéressé. Au contraire, ce document indique que S. est divorcée et vit avec ses parents. Cette personne n'aurait donc pas rencontré de répercussions négatives d'un prétendu adultère dix-mois après les faits, que ce soit de la part des autorités ou de tierces personnes, notamment de membres de sa belle-famille.</w:t>
      </w:r>
    </w:p>
    <w:p>
      <w:r>
        <w:rPr>
          <w:b/>
        </w:rPr>
        <w:t>E. 3.3</w:t>
      </w:r>
    </w:p>
    <w:p>
      <w:r>
        <w:t>Au vu de ce qui précède, les éléments plaidant pour l'absence de vraisemblance des faits allégués l'emportent clairement sur ceux qui parlent en faveur de la vraisemblance. Dès lors, le recours, en tant qu'il conteste le refus de reconnaissance de la qualité de réfugié et le rejet de la demande d'asile,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l'espèce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En l'occurrence, le recourant n'a pas démontré l'existence d'un risque réel, fondé sur des motifs sérieux et avérés, d'être exposé, en cas de retour dans son pays d'origine, à des traitements prohibés.</w:t>
      </w:r>
    </w:p>
    <w:p>
      <w:r>
        <w:rPr>
          <w:b/>
        </w:rPr>
        <w:t>E. 6.5</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w:t>
      </w:r>
    </w:p>
    <w:p>
      <w:r>
        <w:rPr>
          <w:b/>
        </w:rPr>
        <w:t>E. 7.2</w:t>
      </w:r>
    </w:p>
    <w:p>
      <w:r>
        <w:t>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p. 1002 s. et réf. cit. ; voir également à ce propos ATAF 2014/26 consid. 7.6 p. 395).</w:t>
      </w:r>
    </w:p>
    <w:p>
      <w:r>
        <w:rPr>
          <w:b/>
        </w:rPr>
        <w:t>E. 7.3</w:t>
      </w:r>
    </w:p>
    <w:p>
      <w:r>
        <w:t>Le Tribunal a déjà distingué la situation régnant dans les trois provinces kurdes du nord, à savoir Dohukil et Suleymaniya, de celle du reste de l'Irak, et estimé que l'exécution du renvoi pouvait raisonnablement y être exigée, pour autant que le requérant soit originaire de l'une de ces provinces ou qu'il y ait vécu pendant une longue période et qu'il y dispose d'un réseau social (cf. ATAF 2008/5, consid. 7.5, en particulier consid. 7.5.8). Il a confirmé cette jurisprudence dans un arrêt de référence E-3737/2015 du 14 décembre 2015 (consid. 7.4.2 et 7.4.5), dans lequel il a retenu qu'en dépit des affrontements opposant les combattants du groupe Etat islamique et les peshmergas en Irak, l'exécution du renvoi demeure en principe exigible pour les hommes jeunes, d'ethnie kurde, en bonne santé, originaires des provinces de Dohuk, d'Erbil, de Suleymaniya et de la nouvelle province de Halabja ou y ayant vécu durant une longue période et y disposant d'un réseau social (famille, parenté ou amis) ou de liens avec les partis dominants. Cette jurisprudence est toujours d'actualité (cf. notamment arrêts du Tribunal E-178/2017 du 23 mai 2017 consid. 6.2, D-233/2017 du 9 mars 2017 consid. 10.6, D-5634/2016 du 6 mars 2017 p. 11, E-6187/2016 du 9 janvier 2017 p. 6).</w:t>
      </w:r>
    </w:p>
    <w:p>
      <w:r>
        <w:rPr>
          <w:b/>
        </w:rPr>
        <w:t>E. 7.4</w:t>
      </w:r>
    </w:p>
    <w:p>
      <w:r>
        <w:t>En l'espèce, il ne ressort pas du dossier que le recourant pourrait être mis concrètement en danger pour des motifs qui lui seraient propres. Il est d'ethnie kurde, de religion musulmane et originaire de B._______, où il a vécu. Il ne fait par ailleurs pas partie de l'une des minorités prises pour cible par l'Etat islamique, ni n'appartient à la population des déplacés internes ou réfugiés dans les provinces susmentionnées, ni de la population arabe ou turkmène en butte à des actes racistes par la majorité kurde. Son dossier ne fait pas non plus ressortir qu'il ait critiqué les institutions, les élites ou les partis majoritaires (cf. ATAF 2008/4, consid. 6.6-6.7). A cela s'ajoute qu'il est dans la pleine force de l'âge, sans charge de famille et apte à travailler et qu'il peut se prévaloir d'une solide expérience professionnelle en tant qu'indépendant. Il dispose au surplus de membres de la famille dans son pays et il a dû se créer, dans le passé, un réseau social qu'il lui sera loisible, le cas échéant, de réactiver, soit autant de facteurs qui devraient lui permettre de se réinstaller sans rencontrer d'excessives difficultés.</w:t>
      </w:r>
    </w:p>
    <w:p>
      <w:r>
        <w:rPr>
          <w:b/>
        </w:rPr>
        <w:t>E. 7.5</w:t>
      </w:r>
    </w:p>
    <w:p>
      <w:r>
        <w:t>Certes, le recourant fait valoir des problèmes de santé. Il ressort du certificat médical du 31 mars 2017 qu'il souffre de troubles de l'adaptation avec réaction dépressive prolongée (F43.21), d'un trouble dépressif récurrent, avec épisode actuel moyen (F33.11), de privation de relation affective pendant l'enfance (Z61.0), d'une expérience terrifiante pendant l'enfance (Z61.7), d'autres difficultés liées à une enfance malheureuse (Z61.8), d'autres difficultés liées à des négligences pendant l'éducation (Z62.5) et enfin, d'une expérience de catastrophe (Z65.5). Le traitement actuel est constitué d'une psychothérapie individuelle à raison d'une fois par semaine, l'intéressé refusant toute médication.</w:t>
      </w:r>
    </w:p>
    <w:p>
      <w:r>
        <w:rPr>
          <w:b/>
        </w:rPr>
        <w:t>E. 7.5.1</w:t>
      </w:r>
    </w:p>
    <w:p>
      <w:r>
        <w:t>En cas de problèmes médicaux, l'exécution du renvoi n'est pas raisonnablement exigible au sens de l'art. 83 al. 4 LEtr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notamment ATAF 2009/52 consid. 10.1). En d'autres termes, s'agissant des personnes qui souffrent de maladies importantes et qui sont en traitement médical en Suisse, l'exécution du renvoi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ATAF 2009/2 consid. 9.3.2).</w:t>
      </w:r>
    </w:p>
    <w:p>
      <w:r>
        <w:rPr>
          <w:b/>
        </w:rPr>
        <w:t>E. 7.5.2</w:t>
      </w:r>
    </w:p>
    <w:p>
      <w:r>
        <w:t>En l'occurrence, il n'apparaît pas que les problèmes de santé de l'intéressé, tels qu'ils ressortent du rapport médical versé au dossier, soient susceptibles de faire obstacle à l'exécution de son renvoi. Le nord de l'Irak dispose d'infrastructures médicales offrant des soins médicaux essentiels, au sens de la jurisprudence précitée (cf. arrêts du Tribunal D-233/2017 du 9 mars 2017 consid. 10.8.2 et réf. cit., D-5634/2016 du 6 mars 2017 p. 11, E-2904/2014 du 20 janvier 2016 consid. 7.4, E-4653/2010 du 7 février 2013 consid. 6.5, D-4948/2009 du 17 avril 2012 consid. 4.5, E-2818/2011 du 29 décembre 2011 consid. 6.9). L'état de santé de l'intéressé ne saurait ainsi se dégrader très rapidement, en raison d'un renvoi vers ce pays, au point de conduire d'une manière certaine à la mise en danger concrète de sa vie ou à une atteinte sérieuse, durable, et notablement plus grave de son intégrité physique (cf. ATAF 2011/50 précité consid. 8.3 par. 1 p. 1003 s. et réf. cit.). Plus particulièrement, il faut préciser que le nord de l'Irak n'est pas dépourvu d'établissements de soins et de praticiens, même si ces derniers font face à une sollicitation accrue en raison des nombreuses années de privation. Or, dans le cas présent, le recourant n'a ni allégué - ni a fortiori établi - qu'il ne bénéficierait pas des mêmes conditions prévues par les législations en matière sociale et sanitaire que l'ensemble des citoyens kurdes du nord de l'Irak, en premier lieu un accès non discriminatoire aux lieux de santé et aux médicaments de sorte que rien n'indique qu'il ne puisse pas bénéficier de son traitement. L'existence d'un standard de soins psychiatriques plus élevé en Suisse que dans le nord de l'Irak et donc le fait que le recourant puisse se trouver dans ce pays dans une situation moins favorable que celle dont il jouit en Suisse ne sont pas déterminants au sens de la jurisprudence précitée.</w:t>
      </w:r>
    </w:p>
    <w:p>
      <w:r>
        <w:rPr>
          <w:b/>
        </w:rPr>
        <w:t>E. 7.5.3</w:t>
      </w:r>
    </w:p>
    <w:p>
      <w:r>
        <w:t>A terme, le recourant devrait au demeurant être en mesure de financer de possibles participations à d'éventuels frais médicaux. Au surplus, il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OA 2 (RS 142.312) en vue d'obtenir, pour un laps de temps convenable, une prise en charge des soins médicaux.</w:t>
      </w:r>
    </w:p>
    <w:p>
      <w:r>
        <w:rPr>
          <w:b/>
        </w:rPr>
        <w:t>E. 7.6</w:t>
      </w:r>
    </w:p>
    <w:p>
      <w:r>
        <w:t>Au vu de ce qui précède, l'exécution du renvoi de l'intéressé dans le nord de l'Irak est raisonnablement exigible au sens de l'art. 83 al. 4 LEtr.</w:t>
      </w:r>
    </w:p>
    <w:p>
      <w:r>
        <w:rPr>
          <w:b/>
        </w:rPr>
        <w:t>E. 8</w:t>
      </w:r>
    </w:p>
    <w:p>
      <w:r>
        <w:t>Enfin, l'exécution du renvoi est possible (cf. ATAF 2008/34 consid. 12 p. 513 ss et juris. cit.), le recourant étant tenu de collaborer à l'obtention de documents de voyage lui permettant de retourner dans son pays d'origine (cf. art. 8 al. 4 LAsi).</w:t>
      </w:r>
    </w:p>
    <w:p>
      <w:r>
        <w:rPr>
          <w:b/>
        </w:rPr>
        <w:t>E. 9</w:t>
      </w:r>
    </w:p>
    <w:p>
      <w:r>
        <w:t>Au vu de l'issue de la cause, il y aurait lieu de mettre les frais de procédure à la charge du recourant (cf. art. 63 al. 1 PA et 2 et 3 let. b du règlement du 21 février 2008 concernant les frais, dépens et indemnités fixés par le Tribunal administratif fédéral [FITAF, RS 173.320.2]). Celui-ci ayant été mis au bénéfice de l'assistance judiciaire partielle, il est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