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D-1902/2016 vom 23. Mai 2016</w:t>
      </w:r>
    </w:p>
    <w:p>
      <w:r>
        <w:t>Bundesverwaltungsgericht, 2016-05-23, DE</w:t>
      </w:r>
    </w:p>
    <w:p>
      <w:r>
        <w:rPr>
          <w:b/>
        </w:rPr>
        <w:t xml:space="preserve">Quelle: </w:t>
      </w:r>
      <w:r>
        <w:t>https://mcp.opencaselaw.ch/entscheid/bvger_D-1902_2016</w:t>
      </w:r>
    </w:p>
    <w:p>
      <w:r>
        <w:t>FR: TAF D-1902/2016 du 23 mai 2016</w:t>
      </w:r>
    </w:p>
    <w:p>
      <w:r>
        <w:t>IT: TAF D-1902/2016 del 23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ersuchte die kroatischen Behörden am 6. Januar 2016 um Aufnahme der Beschwerdeführenden gestützt auf Art. 13 Abs. 1 Dublin-III-VO). Die kroatischen Behörden liessen das Ersuchen des SEM während zwei Monaten unbeantwortet, womit die Zuständigkeit zur Durchführung des Asyl- und Wegweisungsverfahrens der Beschwerdeführenden am 7. März 2016 an Kroatien übergegangen ist (vgl. Art. 22 Abs. 7 Dublin-III-VO). Den vorliegenden Akten ist zwar nicht eindeutig zu entnehmen, ob sich die Beschwerdeführer vor ihrer Einreise in die Schweiz in Kroatien aufgehalten haben, allerdings liegen Anhaltspunkte vor, welche einen Aufenthalt dort zumindest als wahrscheinlich erscheinen lassen. Neben den Ausführungen des Beschwerdeführers, wonach sie mit dem Bus an die kroatische Grenze geführt worden seien, spricht der Umstand, dass die Migrationsströme nach Schliessung der direkten Verbindung zwischen Serbien und Ungarn im September 2015 über Serbien-Kroatien-Ungarn-Österreich auswichen, für die dargelegte Annahme. Die Anfrage des SEM an die kroatischen Dublin-Behörden erfolgte somit aufgrund von konkreten Anhaltspunkten und ist nicht zu beanstanden. Schliesslich ist in Übereinstimmung mit den Ausführungen in der Vernehmlassung vom 6. April 2016 festzuhalten, dass Art. 13 Abs. 1 Dublin-III-VO nicht "self-executing" ist, was für sie zur Folge hat, dass sie eine angebliche Verletzung der Norm nicht rügen können und sich der zwischenstaatlichen Vereinbarung zu beugen haben (vgl. Urteil des BVGer D-1905/2016 vom 1. April 2016 und BVGE 2010/27). Die grundsätzliche Zuständigkeit Kroatiens ist somit gegeben.</w:t>
      </w:r>
    </w:p>
    <w:p>
      <w:r>
        <w:rPr>
          <w:b/>
        </w:rPr>
        <w:t>E. 4.2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4.2.1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Unter diesen Umständen ist die Anwendung von Art. 3 Abs. 2 Dublin-III-VO nicht gerechtfertigt.</w:t>
      </w:r>
    </w:p>
    <w:p>
      <w:r>
        <w:rPr>
          <w:b/>
        </w:rPr>
        <w:t>E. 4.3</w:t>
      </w:r>
    </w:p>
    <w:p>
      <w:r>
        <w:t>Gemäss Art. 17 Abs. 1 Dublin-III-VO, respektive der - das Selbsteintrittsrecht im Landesrecht konkretisierenden - Bestimmung von Art. 29a Abs. 3 der Asylverordnung 1 vom 11. August 1999 (AsylV 1, SR 142.311) kann das SEM das Asylgesuch "aus humanitären Gründen" auch dann behandeln, wenn dafür gemäss Dublin-III-VO ein anderer Staat zuständig wäre.</w:t>
      </w:r>
    </w:p>
    <w:p>
      <w:r>
        <w:rPr>
          <w:b/>
        </w:rPr>
        <w:t>E. 4.3.1</w:t>
      </w:r>
    </w:p>
    <w:p>
      <w:r>
        <w:t>Die Beschwerdeführenden haben kein konkretes und ernsthaftes Risiko dargetan, die kroatischen Behörden würden sich weigern, sie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kroatischen Behörden wenden und die ihnen zustehenden Aufnahmebedingungen auf dem Rechtsweg einfordern (vgl. Art. 26 Aufnahmerichtlinie).</w:t>
      </w:r>
    </w:p>
    <w:p>
      <w:r>
        <w:rPr>
          <w:b/>
        </w:rPr>
        <w:t>E. 4.3.2</w:t>
      </w:r>
    </w:p>
    <w:p>
      <w:r>
        <w:t>Soweit die Beschwerdeführenden sinngemäss das Vorliegen von "humanitären Gründen" geltend machen, ist Folgendes festzuhalten:</w:t>
      </w:r>
    </w:p>
    <w:p>
      <w:r>
        <w:rPr>
          <w:b/>
        </w:rPr>
        <w:t>E. 4.3.2.1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4.3.2.2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4.3.3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4.4</w:t>
      </w:r>
    </w:p>
    <w:p>
      <w:r>
        <w:t>Somit bleibt Kroatien der für die Behandlung der Asylgesuche der Beschwerdeführenden zuständige Mitgliedstaat gemäss Dublin-III-VO. Kroatien ist verpflichtet, das Asylverfahren gemäss Art. 21, 22 und 29 aufzunehmen.</w:t>
      </w:r>
    </w:p>
    <w:p>
      <w:r>
        <w:rPr>
          <w:b/>
        </w:rPr>
        <w:t>E. 5</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7</w:t>
      </w:r>
    </w:p>
    <w:p>
      <w:r>
        <w:t>Nach dem Gesagten ist die Beschwerde abzuweisen und die Verfügung des SEM zu bestätigen.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w:t>
      </w:r>
    </w:p>
    <w:p>
      <w:r>
        <w:rPr>
          <w:b/>
        </w:rPr>
        <w:t>E. 9</w:t>
      </w:r>
    </w:p>
    <w:p>
      <w:r>
        <w:t>Der mit superprovisorischer Massnahme angeordnete Vollzugsstopp wird mit dem Entscheid in der Hauptsache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