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D-1901/2024 vom 20. März 2024</w:t>
      </w:r>
    </w:p>
    <w:p>
      <w:r>
        <w:t>Bundesverwaltungsgericht, 2024-03-20, DE</w:t>
      </w:r>
    </w:p>
    <w:p>
      <w:r>
        <w:rPr>
          <w:b/>
        </w:rPr>
        <w:t xml:space="preserve">Quelle: </w:t>
      </w:r>
      <w:r>
        <w:t>https://mcp.opencaselaw.ch/entscheid/bvger_D-1901_2024_d20240320</w:t>
      </w:r>
    </w:p>
    <w:p>
      <w:r>
        <w:t>FR: TAF D-1901/2024 du 20 mars 2024</w:t>
      </w:r>
    </w:p>
    <w:p>
      <w:r>
        <w:t>IT: TAF D-1901/2024 del 20 marzo 2024</w:t>
      </w:r>
    </w:p>
    <w:p>
      <w:pPr>
        <w:pStyle w:val="Heading2"/>
      </w:pPr>
      <w:r>
        <w:t>Regeste</w:t>
      </w:r>
    </w:p>
    <w:p>
      <w:r>
        <w:t>Asyl und Wegweisung (Art. 40 i.V.m. Art. 6a Abs. 2 AsylG) | Asyl und Wegweisung (Art. 40 i.V.m. Art. 6a Abs. 2 AsylG); Verfügung des SEM vom 20.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ist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(Art. 111 Bst. e AsylG), ohne Weiterungen und mit summarischer Begründung zu behandeln (Art. 111a Abs. 1 und 2 AsylG).</w:t>
      </w:r>
    </w:p>
    <w:p>
      <w:r>
        <w:t>D-1901/2024 Seite 4</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EMARK 2006 Nr. 18). Dabei ist allerdings nicht eine faktische Garantie von Schutzgewährung für langfris- tigen individuellen Schutz der von nichtstaatlicher Verfolgung bedrohten Person zu verlangen: Keinem Staat gelingt es, die absolute Sicherheit aller seiner Bürger jederzeit und überall zu garantieren (vgl. BVGer Urteil D-703/2024 vom 9. Februar 2024 E. 7.3; BVGE 2008/4 E. 5.2).</w:t>
      </w:r>
    </w:p>
    <w:p>
      <w:r>
        <w:rPr>
          <w:b/>
        </w:rPr>
        <w:t>E. 5.1</w:t>
      </w:r>
    </w:p>
    <w:p>
      <w:r>
        <w:t>Die Vorinstanz hat zu Recht und mit zutreffender Begründung festge- stellt, aus den Vorbringen des Beschwerdeführers könne keine Asylrele- vanz abgeleitet werden. Zur Vermeidung von Wiederholungen ist haupt- sächlich auf die ausführlichen Erwägungen in der angefochtenen Verfü- gung zu verweisen und nachfolgend auf die Entgegnungen in der Be- schwerde näher einzugehen.</w:t>
      </w:r>
    </w:p>
    <w:p>
      <w:r>
        <w:rPr>
          <w:b/>
        </w:rPr>
        <w:t>E. 5.2</w:t>
      </w:r>
    </w:p>
    <w:p>
      <w:r>
        <w:t>Georgien wurde vom Bundesrat am 28. August 2019 per 1. Oktober 2019 zu einem verfolgungssicheren Staat nach Art. 6a Abs. 2 Bst. a AsylG erklärt. Dies bedeutet, dass die gesetzliche Regelvermutung besteht, wo- nach flüchtlingsrechtlich relevante staatliche Verfolgung nicht stattfinde und Schutz vor nichtstaatlicher Verfolgung bestehe. Es handelt sich hierbei um eine relative Verfolgungssicherheit, die im Einzelfall aufgrund konkreter und substantiierter Hinweise umgestossen werden kann (vgl. dazu auch</w:t>
      </w:r>
    </w:p>
    <w:p>
      <w:r>
        <w:t>D-1901/2024 Seite 5 BVGer Urteil E-1193/2024 vom 6. März 2024, E. 5.3). Dies gelingt dem Beschwerdeführer nicht, denn es ist mit der Vorinstanz festzuhalten, dass keine Anhaltspunkte vorliegen, die geeignet wären, die Regelvermutung der relativen Verfolgungssicherheit umzustossen. Solche Übergriffe Dritter, wie die vorgebrachten Vorfälle, werden vom georgischen Staat weder un- terstützt noch gebilligt. Vielmehr werden sie von den zuständigen Strafver- folgungsbehörden im Rahmen ihrer Möglichkeiten verfolgt und geahndet (vgl. auch vi-Entscheid, Ziff. II). Es sind keine konkreten Gründe ersichtlich, aufgrund welcher es dem Beschwerdeführer nach den geschilderten Vor- fällen nicht zuzumuten gewesen wäre, mit rechtlichen Mitteln und gegebe- nenfalls mit Hilfe eines Anwalts gegen die kriminelle Gruppe behördlich vorzugehen beziehungsweise den Rechtsweg auszuschöpfen. Gemäss den Angaben des Beschwerdeführers hat er keine Anzeige gegen die kri- minelle Gruppe erstattet, obwohl die Polizei beim gewalttätigen Vorfall vom Frühjahr 2023 gemeinsam mit der Ambulanz bei ihm eintraf (A15/13, F46, F63 f.). Weder die Behauptung fehlender Schutzfähigkeit und -willigkeit der georgischen Behörden in der Beschwerde, noch die beigelegte Dokument- kopie mit Übersetzung als diesbezüglicher Beweis, führen zu einer ande- ren Einschätzung. So handelt es sich bei der Beschwerdebeilage um eine Kopie eines (schlecht leserlichen) fremdsprachigen Dokuments, worin mut- masslich die Bezirksstaatsanwaltschaft eine Anfrage vom 16. Februar 2023 dahingehend beantwortet, dass mangels Feststellung einer Straftat keine Ermittlungen zum «Prügelvorfall» eingeleitet worden seien (vgl. Be- schwerdebeilagen). Einerseits weist dieses Dokument, das als Fotoaus- druck (Kopie) und nicht im Original vorliegt, mangels Überprüfbarkeit der Echtheit nur einen geringen Beweiswert auf. Andererseits kann der Be- schwerdeführer daraus auch deshalb nichts zu seinen Gunsten ableiten, da er sowohl das Zustandekommen des Dokuments als auch den Zusam- menhang zu seinen Vorbringen gänzlich unbegründet lässt (fehlende Sub- stantiierung). Selbst bei der Annahme, das Dokument beziehe sich auf den Vorfall vom Frühjahr 2023 und stamme von der dafür zuständigen georgi- schen Staatsanwaltschaft, wäre eine solche Mitteilung der Behörden man- gels Anzeige der Straftat durch den Beschwerdeführer (A15/13, F63) plau- sibel. Im Weiteren besteht auch bei einer (tatsächlichen) Weigerung der Polizei, bei Übergriffen von Drittpersonen entsprechende Schritte einzulei- ten, die Möglichkeit einer Beschwerde an eine höhere Instanz. Die allge- mein gehaltenen Vorbehalte in der Beschwerde gegenüber der Schutzfä- higkeit und -willigkeit der georgischen Behörden vermögen jedenfalls die beschriebene Regelvermutung auch auf Beschwerdeebene nicht umzu- stossen. Der Beschwerdeführer hat die Schutzsuche in Georgien offen- sichtlich nicht ausgeschöpft, wozu er jedoch gehalten gewesen wäre. Dem</w:t>
      </w:r>
    </w:p>
    <w:p>
      <w:r>
        <w:t>D-1901/2024 Seite 6 Beschwerdeführer gelingt es unter diesen Umständen nicht darzulegen, dass ihm die zuständigen staatlichen Organe den erforderlichen Schutz verweigert hätten oder in Zukunft verweigern würden.</w:t>
      </w:r>
    </w:p>
    <w:p>
      <w:r>
        <w:rPr>
          <w:b/>
        </w:rPr>
        <w:t>E. 5.3</w:t>
      </w:r>
    </w:p>
    <w:p>
      <w:r>
        <w:t>Zusammenfassend ergibt sich, dass die Vorinstanz die Flüchtlingsei- genschaft des Beschwerdeführers zu Recht verneint und das Asylgesuch folgerichtig abgelehnt hat.</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w:t>
      </w:r>
    </w:p>
    <w:p>
      <w:r>
        <w:t>D-1901/2024 Seite 7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in Anbetracht der vorangehenden Erwägungen nicht gelungen. Auch die allgemeine Menschenrechtssituation im Heimat- staat lässt den Wegweisungsvollzug zum heutigen Zeitpunkt nicht als un- zulässig erscheinen.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allgemeine Lage in Georgien ist weder von Bürgerkrieg noch von all- gemeiner Gewalt gekennzeichnet, so dass der Vollzug der Wegweisung</w:t>
      </w:r>
    </w:p>
    <w:p>
      <w:r>
        <w:t>D-1901/2024 Seite 8 dorthin grundsätzlich zumutbar ist. Zudem gilt Georgien, wie erwähnt, als „Safe Country“. In individueller Hinsicht verwies das SEM zutreffend auf die guten Voraus- setzungen des Beschwerdeführers, sich bei einer Rückkehr in seinen Hei- matstaat problemlos reintegrieren zu können, zumal er erst am 29. Februar 2024 ausgereist ist. Er ist jung und gesund, verfügt sowohl über einen Mit- telschulabschluss als auch über Berufserfahrung als Abteilungsleiter und Inhaber einer eigenen Firma. Er befand sich in Georgien in guten wirt- schaftlichen Verhältnissen und kann auf ein tragfähiges Beziehungsnetz zurückgreifen, da sowohl seine Familienmitglieder (Grossmutter, Eltern, zwei Schwestern) als auch seine bisherigen Wohngemeinschafts-Freunde dort leben (A15/13, F5 bis 21). Aus den genannten Gründen ist der Vollzug der Wegweisung zumutbar.</w:t>
      </w:r>
    </w:p>
    <w:p>
      <w:r>
        <w:rPr>
          <w:b/>
        </w:rPr>
        <w:t>E. 7.4</w:t>
      </w:r>
    </w:p>
    <w:p>
      <w:r>
        <w:t>Schliesslich obliegt es dem Beschwerdeführer, sich bei der zuständi- gen Vertretung des Heimatstaates die für eine Rückkehr allenfalls notwen- digen Reisedokumente zu beschaffen (Art. 8 Abs. 4 AsylG; vgl. BVGE 2008/34 E. 12).</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9.1</w:t>
      </w:r>
    </w:p>
    <w:p>
      <w:r>
        <w:t>Der Beschwerdeführer beantragt (sinngemäss) die Gewährung der unent- geltlichen Prozessführung. Aufgrund der vorstehenden Erwägungen ergibt sich, dass sich das Begehren als aussichtslos erweist und es daher an einer gesetzlichen Voraussetzung zu dessen Gewährung fehlt.</w:t>
      </w:r>
    </w:p>
    <w:p>
      <w:r>
        <w:rPr>
          <w:b/>
        </w:rPr>
        <w:t>E. 9.2</w:t>
      </w:r>
    </w:p>
    <w:p>
      <w:r>
        <w:t>Bei diesem Ausgang des Verfahrens sind die Kosten dem Beschwer- deführer aufzuerlegen (Art. 63 Abs. 1 VwVG) und auf insgesamt Fr. 750.– festzusetzen (Art. 1–3 des Reglements vom 21. Februar 2008 über die</w:t>
      </w:r>
    </w:p>
    <w:p>
      <w:r>
        <w:t>D-1901/2024 Seite 9 Kosten und Entschädigungen vor dem Bundesverwaltungsgericht [VGKE, SR 173.320.2]).</w:t>
      </w:r>
    </w:p>
    <w:p>
      <w:r>
        <w:t>(Dispositiv nächste Seite)</w:t>
      </w:r>
    </w:p>
    <w:p>
      <w:r>
        <w:t>D-1901/2024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