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D-1897/2014 vom 9. Februar 2015</w:t>
      </w:r>
    </w:p>
    <w:p>
      <w:r>
        <w:t>Bundesverwaltungsgericht, 2015-02-09, DE</w:t>
      </w:r>
    </w:p>
    <w:p>
      <w:r>
        <w:rPr>
          <w:b/>
        </w:rPr>
        <w:t xml:space="preserve">Quelle: </w:t>
      </w:r>
      <w:r>
        <w:t>https://mcp.opencaselaw.ch/entscheid/bvger_D-1897_2014</w:t>
      </w:r>
    </w:p>
    <w:p>
      <w:r>
        <w:t>FR: TAF D-1897/2014 du 9 février 2015</w:t>
      </w:r>
    </w:p>
    <w:p>
      <w:r>
        <w:t>IT: TAF D-1897/2014 del 9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 [SR 173.110]).</w:t>
      </w:r>
    </w:p>
    <w:p>
      <w:r>
        <w:rPr>
          <w:b/>
        </w:rPr>
        <w:t>E. 1.2</w:t>
      </w:r>
    </w:p>
    <w:p>
      <w:r>
        <w:t>Das Verfahren richtet sich nach dem VwVG, soweit das VGG oder das AsylG nichts anderes bestimmen (Art. 37 VGG; Art. 6 und 105 AsylG).</w:t>
      </w:r>
    </w:p>
    <w:p>
      <w:r>
        <w:rPr>
          <w:b/>
        </w:rPr>
        <w:t>E. 1.3</w:t>
      </w:r>
    </w:p>
    <w:p>
      <w:r>
        <w:t>Das Kind der Beschwerdeführerin wird in der angefochtenen Verfügung nicht erwähnt, obwohl sie wiederholt auch im Namen ihrer Tochter die Schweiz um Schutz ersuchte. Es ist deshalb im vorliegenden Verfahren ebenfalls Partei.</w:t>
      </w:r>
    </w:p>
    <w:p>
      <w:r>
        <w:rPr>
          <w:b/>
        </w:rPr>
        <w:t>E. 1.4</w:t>
      </w:r>
    </w:p>
    <w:p>
      <w:r>
        <w:t>Die Beschwerdeführenden sind legitimiert (Art. 48 Abs. 1 VwVG) und haben ihre Beschwerde gemäss Aktenlage fristgerecht eingereicht (Art. 108 Abs. 1 AsylG i.V.m. Art. 21 Abs. 1 VwVG). Die Beschwerde ist auch formgerecht (Art. 52 Abs. 1 VwVG). Auf die Beschwerde ist demnach einzutreten.</w:t>
      </w:r>
    </w:p>
    <w:p>
      <w:r>
        <w:rPr>
          <w:b/>
        </w:rPr>
        <w:t>E. 2</w:t>
      </w:r>
    </w:p>
    <w:p>
      <w:r>
        <w:t>Gestützt auf Art. 111a Abs. 1 AsylG wurde vorliegend auf die Durch­füh­rung des Schriftenwechsels verzichtet.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Vorbehalten bleibt die Einhaltung der FK (SR 0.142.30); vgl. Art. 3 AsylG.</w:t>
      </w:r>
    </w:p>
    <w:p>
      <w:r>
        <w:rPr>
          <w:b/>
        </w:rPr>
        <w:t>E. 4.1</w:t>
      </w:r>
    </w:p>
    <w:p>
      <w:r>
        <w:t>Ein Asylgesuch konnte gemäss aArt. 19 AsylG im Ausland bei einer schweizerischen Vertretung gestellt werden, die es mit einem Bericht an das Bundesamt überweist (aArt. 20 Abs. 1 AsylG). Das BFM kann ein im Ausland gestelltes Asylgesuch ablehnen, wenn die asylsuchende Person keine Verfolgung glaubhaft machen kann oder ihr die Aufnahme in einem Drittstaat zugemutet werden kann (vgl. Art. 3, Art. 7 und aArt. 52 Abs. 2 AsylG).</w:t>
      </w:r>
    </w:p>
    <w:p>
      <w:r>
        <w:rPr>
          <w:b/>
        </w:rPr>
        <w:t>E. 4.2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Hinsichtlich des Verfahrens bei der schweizerischen Vertretung im Ausland sah aArt. 10 AsylV 1 (SR 142.311) vor, dass diese mit der asylsuchenden Person in der Regel eine Befragung durchführt (aArt. 10 Abs. 1 AsylV 1).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w:t>
      </w:r>
    </w:p>
    <w:p>
      <w:r>
        <w:rPr>
          <w:b/>
        </w:rPr>
        <w:t>E. 4.4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Asylverfahren anzuwenden.</w:t>
      </w:r>
    </w:p>
    <w:p>
      <w:r>
        <w:rPr>
          <w:b/>
        </w:rPr>
        <w:t>E. 5.1</w:t>
      </w:r>
    </w:p>
    <w:p>
      <w:r>
        <w:t>Das Bundesverwaltungsgericht verfügt aufgrund der am 1. Februar 2014 in Kraft getretenen Asylgesetzrevision im asylrechtlichen Beschwerdeverfahren nicht mehr über eine vollumfängliche Kognition. Die Streichung von Art. 106 Abs. 1 Bst. c AsylG hat zur Folge, dass das Gericht im asylrechtlichen Beschwerdeverfahren die Ermessensausübung durch die Vorinstanz nicht mehr uneingeschränkt überprüfen kann, sondern nur noch auf qualifizierte Fehler (Missbrauch und Überschreitung des Ermessens, vgl. Art 106 Abs. 1 Bst. a AsylG). Dementsprechend kommt der Abgrenzung zwischen Angemessenheit und den anderen in Art. 106 Abs. 1 AsylG nach wie vor vorgesehenen Beschwerdegründen, insbesondere der Rechtsverletzung, erhebliche Bedeutung zu. 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Die vorliegend zu beurteilende Frage nach der Gefährdung der Beschwerdeführerin im Sinne von Art. 3 AsylG ist gestützt auf Art. 106 Abs. 1 AsylG somit nach wie vor vollumfänglich überprüfbar (vgl. das zur Publikation vorgesehene Urteil D-103/2014 vom 7. Januar 2014 E. 4.1 und 5.3).</w:t>
      </w:r>
    </w:p>
    <w:p>
      <w:r>
        <w:rPr>
          <w:b/>
        </w:rPr>
        <w:t>E. 5.2</w:t>
      </w:r>
    </w:p>
    <w:p>
      <w:r>
        <w:t>Die Vorinstanz hat die Frage, ob eine flüchtlingsrechtlich relevante Gefährdung der Beschwerdefüh­rerin im Falle ihrer Rückkehr nach Sri Lanka gegeben sein könnte, offen gelassen. Aufgrund weitgehend glaubhaften Aussagen der Beschwerdeführerin und der eingereichten Beweismittel kann eine solche Gefährdung jedenfalls nicht mit der erforderlichen Wahrscheinlichkeit ausgeschlossen werden. Unbesehen ihres eigenen journalistischen Engagements ist sie als Witwe ihres Mannes - eines verstorbenen und international bekannten kritischen Journalisten - einer Risikogruppe im Sinne der Praxis bei sri-lankischen Asylgesuchen zuzuordnen. Überdies macht sie geltend, dass ihr Name am Gedenktag ihres Gatten in den Medien erschienen sei. Diese Sachlage und die geltend gemachte sexuelle Gewalt durch die Sicherheitskräfte bewogen sie zur Flucht nach Thailand. Sie befindet sich zusammen mit ihrem Kind aktuell nach wie vor in Thailand, was hinsichtlich der bei einem im Ausland gestellten Asylgesuch weiter zu prüfenden Frage, ob ihr die Aufnahme in einem Drittstaat zugemutet werden kann, zu berück­sichtigen ist (aArt. 52 Abs. 2 AsylG). In Thailand ist sie gemäss ihren eige­nen Angaben seit Ende August 2010. Die Vorinstanz hält in ihrem Ent­scheid vom 12. Februar 2014 gestützt auf ihre Aussagen fest, sie habe sich beim UNHCR gemeldet und sei registriert worden. Sie habe den Flüchtlingssta­tus erhalten. Die Beschwer­defüh­rerin bringt vor, sie befürchte die Einweisung in ein Haftzentrum verbunden mit der Gefahr einer De­portation nach Sri Lanka. Zu­dem litten sie und ihr Kind unter prekären Aufenthaltsbedin­gungen.</w:t>
      </w:r>
    </w:p>
    <w:p>
      <w:r>
        <w:rPr>
          <w:b/>
        </w:rPr>
        <w:t>E. 6.1</w:t>
      </w:r>
    </w:p>
    <w:p>
      <w:r>
        <w:t>In einem ersten Schritt ist zu prüfen, ob die Beschwerdeführenden in Thailand den Schutz eines Drittstaates geniessen. Ist dies zu bejahen, ist in einem zweiten Schritt zu prüfen, ob es ihnen zuzumuten ist, dort zu verbleiben.</w:t>
      </w:r>
    </w:p>
    <w:p>
      <w:r>
        <w:rPr>
          <w:b/>
        </w:rPr>
        <w:t>E. 6.2</w:t>
      </w:r>
    </w:p>
    <w:p>
      <w:r>
        <w:t>Zur diesbezüglichen Kognition ist - wiederum unter Bezugnahme auf ausführliche Erwägungen in BVGE D-103/2014 vom 7. Januar 2014 - festzuhalten, dass die Schutzgewährung respektive die Zumutbarkeit der Schutzsuche in einem anderen Staat vom Bundesverwaltungsgericht weiterhin vollumfänglich überprüft werden kann. Hat aber die asylsuchende Person in einem Drittstaat zumutbaren Schutz gefunden, fällt es in die Entscheidbefugnis des BFM, ob ihr im zu beurteilenden Einzelfall die Einreise zwecks Asylgewährung bewilligt wird oder nicht, was einen ausserhalb der gerichtlichen Kognition liegenden Ermessensentscheid darstellt (a.a.O. E. 7.2 f.).</w:t>
      </w:r>
    </w:p>
    <w:p>
      <w:r>
        <w:rPr>
          <w:b/>
        </w:rPr>
        <w:t>E. 7.1</w:t>
      </w:r>
    </w:p>
    <w:p>
      <w:r>
        <w:t>Die Vorinstanz erachtet Thailand als grundsätzlich schutzfähig. Die Beschwerdeinstanz kommt gemäss nachfolgenden Erwägungen zu einem anderen Ergebnis.</w:t>
      </w:r>
    </w:p>
    <w:p>
      <w:r>
        <w:rPr>
          <w:b/>
        </w:rPr>
        <w:t>E. 7.2</w:t>
      </w:r>
    </w:p>
    <w:p>
      <w:r>
        <w:t>Halten sich die asylsuchenden Personen wie im vorliegenden Fall in einem Drittstaat auf, ist im Sinne einer Vermutung zwar davon auszugehen, sie hätten in diesem Drittstaat bereits den erforderlichen Schutz gefunden, was in der Regel zur Ablehnung des Asylgesuchs und der Verweigerung der Einreisebewilligung führt. Diese Vermutung kann sich jedoch sowohl in Bezug auf die Schutzgewährung durch den Drittstaat wie auch auf die Zumutbarkeit der Inanspruch­nahme des Schutzes im Drittstaat als unzutreffend erweisen. Vorliegend ist ersteres von Belang.</w:t>
      </w:r>
    </w:p>
    <w:p>
      <w:r>
        <w:rPr>
          <w:b/>
        </w:rPr>
        <w:t>E. 7.3</w:t>
      </w:r>
    </w:p>
    <w:p>
      <w:r>
        <w:t>Die flüchtlingsrechtliche Situation in Thailand ist namentlich auch für sri-lankische Asylsuchende als prekär zu beurteilen. Im Urteil D-682/2013 vom 12. März 2013 hielt das Gericht in einer vergleichbaren Konstellation gestützt auf verschiedene Quellen folgendes fest: Asylsuchende und Flüchtlinge gälten in Thailand als "illegale Immigranten" und könnten dementsprechend inhaftiert werden. Das Land sei nicht Vertragspartei der FK, und gemäss den vom BFM getätigten Abklärungen missachte es das non-refoulement Gebot gerade auch bei der Ausschaffung tamilischer Asylsuchender, obwohl sie beim UNHCR registriert gewesen seien. Die beim UNHCR registrierten Personen würden der regulären Immigrationsgesetzgebung Thailands unterworfen und müssten sich - wie alle anderen ausländischen Personen - ein thailändisches Visum beschaffen. Indessen sei gerade bei sri-lankischen Staatsangehörigen aufgrund von Sicherheitsbedenken die Verlängerung des Visums in keiner Weise garantiert. Die Beschwerdeführerin müsse in Thailand demnach mit Rückschiebung in den Heimatstaat rechnen und habe auch nicht die Möglichkeit, eine Bewilligung für dauernden Aufenthalt zu erlangen, weshalb sie in Thailand keinen effektiven und dauernden Schutz vor Verfolgung erlangen könne (vgl. S. 9 f. des angefochtenen Urteils). Diese Sichtweise wird durch weitere Quellen bestätigt. So wird in einem Bericht des Human Right Watch (HRW) ausgeführt, "the lack of a legal frameword that recognizes and provides documents for asylum seekers and refugees and that essentially treats them as illegal (...) means that both de fact refugees and UNHCR-recognized refugees and asylum seekers are vulnerable to arrest on the street, in the workplace, and in their homes, often subject to intimidation and detention and sometimes forced return. (...) The role oft he United Nations High Vommissioner for Refugees has been marginalized in Thailand and ist Bangkok office appears to have little influence with the Tai authorzies (...)." (vgl. HRW, Thailand: Rights Abuses Go Unckecked, 21. Januar 2014, www.hrw.org/news/2014/01/21/thailand-rights-abuses-go-unchecked). Zwar sollen direkte Repatriierungen in Länder, welche nicht an Thailand grenzen, nicht im Vordergrund stehen. In Berücksichtigung der bescheidenen Einflussmöglichkeiten des UNHCR ist aber davon auszugehen, dass für die Beschwerdeführerin, welcher die erneute Inhaftnahme angedroht und deren Visum nicht mehr verlängert wurde, keine Möglichkeit für effektiven und dauernden Schutz und somit die reale Gefahr besteht, in absehbarer Zeit zusammen mit ihrer Tochter ins Heimatland zurückgeschafft beziehungsweise unter prekären Bedingungen jahrelang zu einer solchen Rückkehr genötigt zu werden.</w:t>
      </w:r>
    </w:p>
    <w:p>
      <w:r>
        <w:rPr>
          <w:b/>
        </w:rPr>
        <w:t>E. 7.4</w:t>
      </w:r>
    </w:p>
    <w:p>
      <w:r>
        <w:t>Hält sich die asylsuchende Person in einem Drittstaat auf, ist die Einreise in die Schweiz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und D-342/2013 vom 16. Oktober 2013 E. 4.3.3).</w:t>
      </w:r>
    </w:p>
    <w:p>
      <w:r>
        <w:rPr>
          <w:b/>
        </w:rPr>
        <w:t>E. 7.5</w:t>
      </w:r>
    </w:p>
    <w:p>
      <w:r>
        <w:t>Da vorliegend keine genügenden Anhaltspunkte für die Möglichkeit der Weiterreise in einen beziehungsweise keine Beziehungsnähen zu einem anderen Drittstaat ersichtlich sind, erscheint es mithin als unumgänglich, dass die Schweiz angesichts der bestehenden Gefährdung der Beschwerdeführenden den erforderlichen Schutz gewährt und mithin aArt. 52 Abs. 2 AsylG im vorliegenden Verfahren nicht zur Anwendung gelangt.</w:t>
      </w:r>
    </w:p>
    <w:p>
      <w:r>
        <w:rPr>
          <w:b/>
        </w:rPr>
        <w:t>E. 7.6</w:t>
      </w:r>
    </w:p>
    <w:p>
      <w:r>
        <w:t>Aus den vorstehenden Erwägungen beziehungsweise dem ihnen zugrundeliegenden Sachverhalt geht hervor, dass den Beschwerdeführenden die Einreise in die Schweiz zur Durchführung des ordentlichen Asylverfah­rens zu bewilligen ist. Bei dieser Sachlage kann davon abgesehen werden, auf weitere Beschwerdevorbringen einzugehen. Anzufügen ist, dass entgegen der Behauptung in der Rekurseingabe eine Befragung der Beschwerdeführerin vor Ort stattgefunden hat.</w:t>
      </w:r>
    </w:p>
    <w:p>
      <w:r>
        <w:rPr>
          <w:b/>
        </w:rPr>
        <w:t>E. 8.1</w:t>
      </w:r>
    </w:p>
    <w:p>
      <w:r>
        <w:t>Bei diesem Ausgang des Verfahrens sind keine Kosten zu erheben (Art. 63 Abs. 3 VwVG i.V.m. Art. 37 VGG).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not­wendige Vertre­tungsaufwand lässt sich aufgrund der Ak­ten­lage hin­reichend zu­verläs­sig abschätzen, weshalb sich die Nachreichung einer Kostennote erüb­rigt. Die von der Vorinstanz aus­zu­rich­tende Parteientschä­digung ist un­ter Berück­sichtigung der mass­ge­ben­den Be­mes­sungsfaktoren von Am­tes wegen auf Fr. 1'400.-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