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D-1890/2017 vom 5. Februar 2020</w:t>
      </w:r>
    </w:p>
    <w:p>
      <w:r>
        <w:t>Bundesverwaltungsgericht, 2020-02-05, DE</w:t>
      </w:r>
    </w:p>
    <w:p>
      <w:r>
        <w:rPr>
          <w:b/>
        </w:rPr>
        <w:t xml:space="preserve">Quelle: </w:t>
      </w:r>
      <w:r>
        <w:t>https://mcp.opencaselaw.ch/entscheid/bvger_D-1890_2017</w:t>
      </w:r>
    </w:p>
    <w:p>
      <w:r>
        <w:t>FR: TAF D-1890/2017 du 5 février 2020</w:t>
      </w:r>
    </w:p>
    <w:p>
      <w:r>
        <w:t>IT: TAF D-1890/2017 del 5 febbraio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sind unverändert vom AuG ins AIG übernommen worden, weshalb das Gericht nachfolgend die neue Gesetzesbezeichnung verwendet.</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im Gegensatz zum strikten Beweis ein reduziertes Beweismass und lässt durchaus Raum für gewisse Einwände und Zweifel an den Vorbringen des Beschwerdeführers. Entscheidend ist, ob die Gründe, die für die Richtigkeit der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zum Ganzen BVGE 2015/3 E. 6.5.1; 2013/11 E. 5.1; 2012/5 E. 2.2; 2010/57 E. 2.3).</w:t>
      </w:r>
    </w:p>
    <w:p>
      <w:r>
        <w:rPr>
          <w:b/>
        </w:rPr>
        <w:t>E. 4.3</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5.1</w:t>
      </w:r>
    </w:p>
    <w:p>
      <w:r>
        <w:t>Der Beschwerdeführer brachte zur Begründung seines Asylgesuchs zusammengefasst vor, er sei einige Monate nach Abschluss seines 12. Schuljahres in D._______ aus dem eritreischen Nationaldienst desertiert und habe Eritrea illegal verlassen.</w:t>
      </w:r>
    </w:p>
    <w:p>
      <w:r>
        <w:rPr>
          <w:b/>
        </w:rPr>
        <w:t>E. 5.2.1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Abs. 1-3 AsylG anzuerkennen (vgl. zum Ganzen Entscheidungen und Mitteilungen der [vormaligen] Asylrekurskommission [EMARK] 2006 Nr. 3; beispielsweise bestätigt in Urteil des BVGer E-1740/2016 vom 9. Februar 2018 E. 5.1).</w:t>
      </w:r>
    </w:p>
    <w:p>
      <w:r>
        <w:rPr>
          <w:b/>
        </w:rPr>
        <w:t>E. 5.2.2</w:t>
      </w:r>
    </w:p>
    <w:p>
      <w:r>
        <w:t>Die Vorinstanz führte im Zusammenhang mit der vom Beschwerdeführer geltend gemachten Desertion in der angefochtenen Verfügung aus, dieser sei zu Beginn der Anhörung aufgefordert worden, seine Asylgründe ausführlich und detailliert darzulegen. Nachdem er lediglich zu Protokoll gegeben habe, nicht mit dem Militärdienst einverstanden gewesen zu sein, sei er gebeten worden, ausführlicher zu berichten. Da seine Schilderungen erneut äusserst knapp ausgefallen seien, sei ihm der Zweck der Anhörung erneut erläutert worden, worauf sich seine Ausführungen auf Wiederholungen beschränkt hätten. Nach seinem ersten Tag in D._______ befragt, seien seine Schilderungen auffallend einsilbig und oberflächlich ausgefallen. Selbst auf mehrfache Nachfrage und nach Hinweis auf seine generellen, oberflächlichen Äusserungen, sei es ihm nicht gelungen, detaillierte und individuelle Angaben zu machen. Gleiches gelte für seine Ausführungen zum Ort D._______: Weder in mündlicher noch in gestalterischer Form sei es ihm gelungen, den Ort zu beschreiben; seine Angaben seien stets spärlich und substanzlos geblieben. Diese Oberflächlichkeit ziehe sich weiter durch seine Erzählungen zu seinem Aufenthalt in D._______ und seinem militärischen Training. So habe er keinerlei Angaben zu seinen Tätigkeiten in der ersten Woche seiner Ankunft machen und nur pauschale sowie sich wiederholende Antworten zu Fragen nach seinem militärischen Training geben können; selbst auf nachdrückliche Nachfrage nach Details seien seine Angaben nicht konkreter geworden. Substanzlos seien in der Folge auch die Ausführungen zur Tätigkeit in seiner militärischen Einheit ausgefallen. Seinen Schilderungen habe es durchgehend an Substanz und persönlicher Betroffenheit gefehlt. Es sei ihm daher nicht gelungen, seine Vorbringen zu D._______ und dem Militärdienst glaubhaft zu machen. Daran vermöge auch die eingereichte "Admission Card" nichts zu ändern, zumal diese aufgrund fehlender Sicherheitsmerkmale leicht fälschbar sei.</w:t>
      </w:r>
    </w:p>
    <w:p>
      <w:r>
        <w:rPr>
          <w:b/>
        </w:rPr>
        <w:t>E. 5.2.3.1</w:t>
      </w:r>
    </w:p>
    <w:p>
      <w:r>
        <w:t>Das Gericht schliesst sich zwar grundsätzlich der vorinstanzlichen Einschätzung an, wonach es den Schilderungen des Beschwerdeführers im Zusammenhang mit seinem Aufenthalt in D._______ (insb. seinen Ausführungen zum Ort D._______ und zum militärischen Training) an der zu erwartenden Substanz gefehlt habe (vgl. Akten SEM A 18/18 F44 ff., 55 ff.). Indes ist nachvollziehbar, dass er - immerhin dreieinhalb Jahre später - zu seinem ersten Tag in D._______ und zu seinen Tätigkeiten in der ersten Woche nach seiner dortigen Ankunft, in welcher gemäss seinen Angaben auf weitere Schüler gewartet wurde (vgl. A 18/18 F37), keine substanziierteren und individuelleren Aussagen machte (vgl. A 18/18 F31 ff., 50 ff.).</w:t>
      </w:r>
    </w:p>
    <w:p>
      <w:r>
        <w:rPr>
          <w:b/>
        </w:rPr>
        <w:t>E. 5.2.3.2</w:t>
      </w:r>
    </w:p>
    <w:p>
      <w:r>
        <w:t>Trotz (teilweise nachvollziehbarer) Unsubstanziiertheit der Aussagen des Beschwerdeführers ist festzuhalten, dass es durchaus Anhaltspunkte gibt, die für die Glaubhaftigkeit seines Aufenthalts in D._______ sprechen, die jedoch vom SEM nicht (explizit) berücksichtigt wurden. Einerseits stimmen mehrere seiner Angaben mit den Erkenntnissen des Bundesverwaltungsgerichts zu D._______, die auch dem SEM bekannt sein dürften, überein. So ergibt sich aus seinen Ausführungen diesen Erkenntnissen entsprechend etwa, dass die Schüler (...) gebracht worden sind (vgl. A 18/18 F31 ff.), dass bereits im Rahmen des 12. Schuljahres (...) stattfindet, welche nur für das 12. Schuljahr besteht (vgl. A 18/18 F43, 82 f.), dass die (...) stattfindenden (...) durchgeführt wurden (vgl. A 18/18 F36, 69, 73) und dass es in D._______ etwa auch die (...) gibt (vgl. A 18/18 F45). Andererseits vermochte der Beschwerdeführer an der Anhörung auf entsprechende Frage der Hilfswerksvertretung - ohne zu zögern - die Namen von mehreren angeblichen (...) in D._______ zu nennen (vgl. A 18/18 F125). Auch vermochte er diverse Teile einer (...), deren Handhabung Teil seines Trainings gewesen sei, zu bezeichnen, wobei er allerdings - entgegen der Behauptung in der Beschwerde - die eigentlich gestellte Frage, wie man eine solche (...), nicht beantwortete, was dann aber seitens der befragenden Person nicht weiter nachgefragt wurde (vgl. A 18/18 F75 und 129 f.). Schliesslich ist darauf hinzuweisen, dass er an der Anhörung - mangels ausreichender Protokollierung ist zu seinen Gunsten jedenfalls davon auszugehen - auch den Text eines angeblich (...) aufsagen konnte (vgl. A 18/18 F141 f.). Der Beschwerdeführer reichte sodann seine "Admission Card" (für die Zulassung zu den Abschlussprüfungen in D._______) zu den Akten, wobei - wie in der Beschwerde zu Recht geltend gemacht - die Angaben darauf ([...]) seinen Aussagen anlässlich der Anhörung entsprechen (vgl. A 18/18 F72). Es gibt auch keinen Grund zur Annahme, dass es sich bei der auf der Fotografie abgebildeten Person nicht um ihn handeln würde. Die eingereichte "Admission Card" stimmt ferner mit entsprechendem Vergleichsmaterial überein und weist keine (offensichtlichen) Manipulationsspuren auf. Ihr kann daher nicht mit dem blossen Hinweis auf ihre leichte Fälschbarkeit jeglicher Beweiswert abgesprochen werden.</w:t>
      </w:r>
    </w:p>
    <w:p>
      <w:r>
        <w:rPr>
          <w:b/>
        </w:rPr>
        <w:t>E. 5.2.3.3</w:t>
      </w:r>
    </w:p>
    <w:p>
      <w:r>
        <w:t>Als Zwischenfazit ist festzuhalten, dass es den Aussagen des Beschwerdeführers zu seinem behaupteten Aufenthalt in D._______ zwar an der grundsätzlich zu erwartenden Substanz fehlt, die Gründe, die für die Richtigkeit dieses Vorbringens sprechen, indes überwiegen. Mithin ist im Rahmen einer Gesamtwürdigung und insbesondere angesichts der eingereichten "Admission Card" davon auszugehen, dass der Beschwerdeführer sein 12. Schuljahr im von ihm angegebenen Zeitraum in D._______ verbracht hat.</w:t>
      </w:r>
    </w:p>
    <w:p>
      <w:r>
        <w:rPr>
          <w:b/>
        </w:rPr>
        <w:t>E. 5.2.4.1</w:t>
      </w:r>
    </w:p>
    <w:p>
      <w:r>
        <w:t>Die Vorbringen des Beschwerdeführers zu seiner Tätigkeit nach dem 12. Schuljahr in seiner Einheit und seiner Desertion vermögen allerdings den Anforderungen an die Glaubhaftigkeit gemäss Art. 7 AsylG nicht standzuhalten. Es ist zwar festzuhalten, dass der Beschwerdeführer - wie in der Beschwerde geltend gemacht - an der BzP und der Anhörung seine militärische Einheit, welcher er nach seinem 12. Schuljahr zugeteilt worden sein soll, übereinstimmend anzugeben vermochte (vgl. A 4/11 Ziff. 1.17.05 und A 18/18 F83). Seine Aussagen zu seiner Zeit in dieser Einheit sind indes (wiederum) äusserst knapp ausgefallen. So beschränkte sich seine entsprechende Schilderung - aufgefordert, ausführlich darüber zu erzählen - auf zwei Sätze. Auch auf die Bitte, mehr zu erzählen, wurde er nicht konkreter in seinen Ausführungen (vgl. A 18/18 F85 f.). Hinzu kommen Unstimmigkeiten beziehungsweise Lücken in seinen Aussagen. So gab er an der BzP lediglich an, in E._______ stationiert gewesen zu sein (vgl. A 4/11 Ziff. 1.17.05), während er an der Anhörung erklärte, in den Gegenden E._______ und F._______ stationiert gewesen zu sein (vgl. A 18/18 F88). Weiter brachte er einerseits vor, er sei im September (2014) nach D._______ zurückgekehrt, sei dort seiner Einheit zugeteilt worden und habe dann angefangen, "die Arbeiten" zu erledigen (vgl. A 18/18 F81 ff.). Andererseits gab er zu Protokoll, er habe seinen Arbeitsort im März 2014 (gemeint wohl: 2015) - nach vier Monaten (vgl. A 18/18 F140) - verlassen (vgl. A 18/18 F93). Demnach hätte er erst etwa im November 2014 mit seiner Arbeit in der Einheit begonnen. Seinen Ausführungen sind allerdings keine Angaben zur Zeitspanne zwischen seiner Rückkehr nach D._______ und seinem Arbeitsbeginn in E._______ zu entnehmen. Unsubstanziiert sind aber insbesondere seine Aussagen im Zusammenhang mit seinem fünftägigen Urlaub respektive seiner Desertion, so dass unklar bleibt, ob er während des Urlaubs oder erst danach ausreiste. Gerade dazu wären vom Beschwerdeführer angesichts der daraus abzuleitenden Gefährdung spontan substanziierte Aussagen zu erwarten gewesen, auch wenn es sich bei ihm - wie in der Beschwerde vorgebracht - um eine wortkarge und zurückhaltende Person mit einer "etwas speziellen Auffassungsgabe" handelt. Diesbezüglich erklärte er zunächst sinngemäss, er sei auf die Idee zur Ausreise gekommen, weil er bereits desertiert sei ("Wenn ich desertiert bin, dann kann ich ja nicht einfach in diesem Land leben"). Darauf angesprochen, dass er doch beurlaubt worden sei, gab er nur an, er habe für den Weg (nach Hause) zwei Tage gebraucht und habe somit einen Urlaub von drei Tagen gehabt. Er brachte an dieser Stelle dagegen nicht vor, dass er den Urlaub überzogen habe (vgl. A 18/18 F103 f.). Danach gefragt, wann er genau den Entschluss zur Ausreise gefasst habe, erklärte er sodann, er habe nicht rechtzeitig in seine Einheit zurückkehren können, da der Urlaub von fünf Tagen viel zu kurz gewesen sei, wobei er nicht angab, inwiefern dieser zu kurz gewesen sein soll und weshalb es ihm nicht möglich gewesen sein soll, rechtzeitig in die Einheit zurückzukehren (vgl. A 18/18 F107). Gemäss seinen Angaben soll seine Mutter bis zu seinem Urlaub jedenfalls schon behandelt worden sein, so dass er ihr nicht mehr behilflich sein musste (vgl. A 18/18 F105 f.) Im Übrigen erstaunt, dass er die behauptete Desertion (respektive die Unmöglichkeit des rechtzeitigen Zurückkehrens in die Einheit) im Rahmen seiner freien Erzählung zu den Asylgründen nicht erwähnte (vgl. A 18/18 F26 ff.).</w:t>
      </w:r>
    </w:p>
    <w:p>
      <w:r>
        <w:rPr>
          <w:b/>
        </w:rPr>
        <w:t>E. 5.2.5</w:t>
      </w:r>
    </w:p>
    <w:p>
      <w:r>
        <w:t>Trotz Glaubhaftigkeit des behaupteten Aufenthalts des Beschwerdeführers in D._______ und seiner relativ zeitnahen Ausreise aus seinem Heimatland ist festzuhalten, dass aufgrund seiner unglaubhaften Vorbringen zur Zeit nach D._______ nicht von seiner Desertion ausgegangen werden kann. Wäre er tatsächlich - unter anderen als den von ihm geltend gemachten Umständen - aus dem eritreischen Nationaldienst desertiert, hätte für ihn kein Grund bestanden, auf ein Sachverhaltskonstrukt zurückzugreifen. Es erübrigt sich, auf die weiteren Beschwerdevorbringen einzugehen, da sie nicht geeignet sind, eine Änderung dieser Einschätzung zu bewirken.</w:t>
      </w:r>
    </w:p>
    <w:p>
      <w:r>
        <w:rPr>
          <w:b/>
        </w:rPr>
        <w:t>E. 5.3.1</w:t>
      </w:r>
    </w:p>
    <w:p>
      <w:r>
        <w:t>Das Bundesverwaltungsgericht ging bis im Januar 2017 davon aus, dass eine illegale Ausreise aus Eritrea als subjektiver Nachfluchtgrund anzusehen sei,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(vgl. a.a.O. E. 4.6-4.11) zum Schluss, dass die bisherige Praxis, wonach eine illegale Ausreise per se zur Flüchtlingseigenschaft geführt habe, nicht mehr aufrechterhalten werden könne (vgl. a.a.O. E. 5.1). Es sei nicht mit überwiegender Wahrscheinlichkeit davon auszugehen, dass einer Person einzig aufgrund ihrer illegalen Ausreise aus Eritrea eine asylrelevante Verfolgung drohe. Für die Begründung der Flüchtlingseigenschaft im eritreischen Kontext bedürfe es neben der illegalen Ausreise zusätzlicher Anknüpfungspunkte, welche zu einer Verschärfung des Profils und dadurch zu einer flüchtlingsrechtlich relevanten Verfolgungsgefahr führen könnten (vgl. a.a.O. E. 5.2).</w:t>
      </w:r>
    </w:p>
    <w:p>
      <w:r>
        <w:rPr>
          <w:b/>
        </w:rPr>
        <w:t>E. 5.3.2</w:t>
      </w:r>
    </w:p>
    <w:p>
      <w:r>
        <w:t>Angesichts dieser Rechtsprechung ist es letztlich irrelevant, ob die vom Beschwerdeführer geltend gemachte illegale Ausreise aus Eritrea den Anforderungen an die Glaubhaftigkeit gemäss Art. 7 AsylG, was vom SEM verneint wurde, genügt oder nicht. Entscheidend ist einzig, dass der Beschwerdeführer seine angebliche Desertion nicht glaubhaft machen konnte und auch sonst keine Anknüpfungspunkte ersichtlich sind, die ihn in den Augen des eritreischen Regimes als missliebige Person erscheinen lassen könnten. Die diesbezüglichen Beschwerdevorbringen, die im Wesentlichen das genannte Referenzurteil kritisieren, sind nicht geeignet, eine Änderung dieser Einschätzung zu bewirken.</w:t>
      </w:r>
    </w:p>
    <w:p>
      <w:r>
        <w:rPr>
          <w:b/>
        </w:rPr>
        <w:t>E. 5.4</w:t>
      </w:r>
    </w:p>
    <w:p>
      <w:r>
        <w:t>Nach dem Gesagten ist es dem Beschwerdeführer nicht gelungen, eine flüchtlingsrechtlich relevante Gefährdung nachzuweisen oder glaubhaft zu machen. Die Vorinstanz hat folglich (im Ergebnis) zu Recht die Flüchtlingseigenschaft des Beschwerdeführers verneint und sein Asylgesuch abgelehnt. Aufgrund des Gesagten besteht ferner keine Veranlassung, die Sache zur Neubeurteilung an die Vorinstanz zurückzuweisen, weshalb der Subeventualantrag abzuweisen ist.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7.2.2</w:t>
      </w:r>
    </w:p>
    <w:p>
      <w:r>
        <w:t>Da es dem Beschwerdeführer nicht gelungen ist, eine asylrechtlich erhebliche Gefährdung nachzuweisen oder glaubhaft zu machen, kann der in Art. 5 AsylG verankerte Grundsatz der Nichtrückschiebung im vorliegenden Verfahren - wie in der angefochtenen Verfügung festgehalten -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7.2.3.1</w:t>
      </w:r>
    </w:p>
    <w:p>
      <w:r>
        <w:t>Der Beschwerdeführer macht in der Beschwerde geltend, der Vollzug seiner Wegweisung verstosse gegen Art. 3 und - angesichts seiner mit Sicherheit bevorstehenden Einziehung in den Wehrdienst - gegen Art. 4 EMRK.</w:t>
      </w:r>
    </w:p>
    <w:p>
      <w:r>
        <w:rPr>
          <w:b/>
        </w:rPr>
        <w:t>E. 7.2.3.2</w:t>
      </w:r>
    </w:p>
    <w:p>
      <w:r>
        <w:t>Diesbezüglich kann auf das Grundsatzurteil BVGE 2018 VI/4 verwiesen werden (vgl. auch den entsprechenden Hinweis in der Vernehmlassung des SEM), in welchem das Gericht die Zulässigkeit des Wegweisungsvollzugs bei drohender künftiger Einziehung in den eritreischen Nationaldienst sowohl unter dem Gesichtspunkt des Zwangsarbeitsverbots (Art. 4 Abs. 2 EMRK), als auch unter jenem des Verbots der Folter und der unmenschlichen und erniedrigenden Behandlung (Art. 3 EMRK) prüfte und bejahte (vgl. a.a.O. E. 6.1). Eine möglicherweise drohende Einziehung des Beschwerdeführers in den eritreischen Nationaldienst im Falle einer freiwilligen Rückkehr nach Eritrea (vgl. a.a.O. E. 6.1.7) führt demnach nicht zur Unzulässigkeit des Wegweisungsvollzugs.</w:t>
      </w:r>
    </w:p>
    <w:p>
      <w:r>
        <w:rPr>
          <w:b/>
        </w:rPr>
        <w:t>E. 7.2.4</w:t>
      </w:r>
    </w:p>
    <w:p>
      <w:r>
        <w:t>Aus den Akten ergeben sich auch keine sonstigen Gründe für die Annahme der Unzulässigkeit des Wegweisungsvollzugs. Der Wegweisungsvollzug ist folglich als zulässig zu bezeichnen.</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Im bereits erwähnten Grundsatzurteil (BVGE 2018 VI/4) kam das Bundesverwaltungsgericht auch zum Schluss, dass die drohende Einziehung in den Nationaldienst nicht zur Unzumutbarkeit des Wegweisungsvollzugs führe (a.a.O. E. 6.2.3-6.2.5). Eine allfällige Einziehung des Beschwerdeführers in den Nationaldienst bei einer (freiwilligen) Rückkehr nach Eritrea führt damit nicht zur Unzumutbarkeit des Wegweisungsvollzugs.</w:t>
      </w:r>
    </w:p>
    <w:p>
      <w:r>
        <w:rPr>
          <w:b/>
        </w:rPr>
        <w:t>E. 7.3.3</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17.2). Der Wegweisungsvollzug nach Eritrea ist somit - entgegen der in der Beschwerde ohne substanziierte Begründung vertretenen Ansicht - nicht generell unzumutbar. Vorliegend kann sodann nicht auf die Unzumutbarkeit des Wegweisungsvollzugs aufgrund in der Person des Beschwerdeführers liegenden Gründen geschlossen werden. Bei ihm handelt es sich um einen jungen und - soweit aus den Akten ersichtlich - gesunden Mann. Wie bereits in der angefochtenen Verfügung festgehalten leben seine Eltern, mehrere Geschwister und weitere Verwandte in Eritrea (vgl. A 4/11 Ziff. 3.01; A 18/18 F17 ff.). Allein der Umstand, dass seine Familie - wie in der Beschwerde vorgebracht - seit seiner Ausreise in "noch bescheideneren" Verhältnissen lebe, lässt noch nicht auf eine Existenzbedrohung des Beschwerdeführers im Falle einer Rückkehr in sein Heimatland schliessen.</w:t>
      </w:r>
    </w:p>
    <w:p>
      <w:r>
        <w:rPr>
          <w:b/>
        </w:rPr>
        <w:t>E. 7.3.4</w:t>
      </w:r>
    </w:p>
    <w:p>
      <w:r>
        <w:t>Nach dem Gesagten erweist sich der Vollzug der Wegweisung nicht als unzumutbar.</w:t>
      </w:r>
    </w:p>
    <w:p>
      <w:r>
        <w:rPr>
          <w:b/>
        </w:rPr>
        <w:t>E. 7.4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dessen Kosten an sich dem Beschwerdeführer aufzuerlegen (Art. 63 Abs. 1 VwVG). Da ihm jedoch mit Verfügung vom 4. April 2017 die unentgeltlichen Rechtspflege im Sinne von Art. 65 Abs. 1 VwVG gewährt wurde und aufgrund der Aktenlage weiterhin von der prozessualen Bedürftigkeit auszugehen ist, ist von der Kostenerhebung abzusehen.</w:t>
      </w:r>
    </w:p>
    <w:p>
      <w:r>
        <w:rPr>
          <w:b/>
        </w:rPr>
        <w:t>E. 9.2</w:t>
      </w:r>
    </w:p>
    <w:p>
      <w:r>
        <w:t>Die amtliche Rechtsbeiständin ist unbesehen des Ausgangs des Verfahrens zu entschädigen, wobei sie mangels anderslautender Stellungnahme ihrer Vorgängerin (vgl. Bst. H vorstehend) auch für deren Aufwand entschädigt wird. Die Festsetzung des amtlichen Honorars erfolgt in Anwendung der Art. 8-11 sowie Art. 12 des Reglements vom 21. Februar 2008 über die Kosten und Entschädigungen vor dem Bundesverwaltungsgericht (VGKE, SR 173.320.2). Mit der am 15. Mai 2019 eingereichten Kostennote werden Auslagen in der Höhe von Fr. 33.- sowie ein Aufwand von insgesamt 6.75 Stunden geltend gemacht, was als angemessen erscheint. Das Gesamthonorar zulasten der Gerichtskasse ist folglich auf Fr. 1'045.50 (Stundenansatz von Fr. 150.-;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