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D-188/2016 vom 25. Februar 2016</w:t>
      </w:r>
    </w:p>
    <w:p>
      <w:r>
        <w:t>Bundesverwaltungsgericht, 2016-02-25, DE</w:t>
      </w:r>
    </w:p>
    <w:p>
      <w:r>
        <w:rPr>
          <w:b/>
        </w:rPr>
        <w:t xml:space="preserve">Quelle: </w:t>
      </w:r>
      <w:r>
        <w:t>https://mcp.opencaselaw.ch/entscheid/bvger_D-188_2016</w:t>
      </w:r>
    </w:p>
    <w:p>
      <w:r>
        <w:t>FR: TAF D-188/2016 du 25 février 2016</w:t>
      </w:r>
    </w:p>
    <w:p>
      <w:r>
        <w:t>IT: TAF D-188/2016 del 25 febbraio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Aufgrund der Zuweisung des Beschwerdeführers in die Testphase des Verfahrenszentrums Zürich gelangt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TestV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 die Durchführung eines Schriftenwechsels wurde gestützt auf Art. 111a Abs. 1 AsylG verzichtet.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 4.3 Die Flüchtlingseigenschaft erfüllt eine asylsuchende Person dann, wenn sie Nachteile von bestimmter Intensität erlitten hat beziehungsweise mit beachtlicher Wahrscheinlichkeit und in absehbarer Zukunft begründeterweise befürchten muss, welche ihr gezielt und aus einem der vom Gesetz aufgezählten Verfolgungsmotive zugefügt worden sind respektive zugefügt zu werden drohen (vgl. BVGE 2008/4 E. 5.2 [S. 37]).</w:t>
      </w:r>
    </w:p>
    <w:p>
      <w:r>
        <w:rPr>
          <w:b/>
        </w:rPr>
        <w:t>E. 5.1</w:t>
      </w:r>
    </w:p>
    <w:p>
      <w:r>
        <w:t>Die vom Beschwerdeführer vorgebrachten (Vor-)Fluchtgründe wurden vom SEM in der angefochtenen Verfügung als den Anforderungen an die Flüchtlingseigenschaft gemäss Art. 3 AsylG nicht genügend erachtet. Dieser Einschätzung ist beizupflichten. Zur Vermeidung von Wiederholungen kann auf die nicht zu beanstandenden Ausführungen in der angefochtenen Verfügung verwiesen werden. Der Rechtsmitteleingabe sind keine stichhaltigen Entgegnungen zu entnehmen, die geeignet wären, eine Änderung der angefochtenen Verfügung hinsichtlich der Flüchtlingseigenschaft und des Asyls herbeizuführen. Entgegen der auf Beschwerdeebene vertretenen Auffassung hat die Vorinstanz zutreffend erkannt, dass nicht von einer gezielten, aus den in Art. 3 AsylG aufgeführten Gründen erfolgten Verfolgung gesprochen werden kann. Allein dass der Beschwerdeführer persönlich angeschrieben worden sein will, lässt nicht auf eine asylrelevante Verfolgung schliessen. Dies umso weniger unter Beachtung der Aussagen des Beschwerdeführers, alle Familien in der Gegend hätten ein solches Schreiben erhalten und seine Familie habe das Schreiben für unwichtig gehalten und vernichtet (vgl. A19 S. 9 F80 ff.). Nicht ersichtlich ist sodann, inwiefern von subjektiven Nachfluchtgründen ausgegangen werden müsste. Der Beschwerdeführer will mit seinem Einwand, durch sein Verlassen Pakistans und der damit verbundenen Weigerung, der Aufforderung der Taliban Folge zu leisten, wohl geltend machen, er habe begründete Furcht vor künftiger Verfolgung. Das SEM hat mit Verneinung der Asylrelevanz implizit auch das Vorliegen begründeter Furcht vor künftiger Verfolgung verworfen. Dies ist in Anbetracht der Angabe des Beschwerdeführers, zwar sei eine Person bei seiner Familie erschienen und habe sich nach ihm erkundigt, ohne allerdings irgendwelche Konsequenzen des Nichterscheinens zu erwähnen (vgl. A19 S. 10 f. F101 ff.), nicht zu beanstanden.</w:t>
      </w:r>
    </w:p>
    <w:p>
      <w:r>
        <w:rPr>
          <w:b/>
        </w:rPr>
        <w:t>E. 5.2</w:t>
      </w:r>
    </w:p>
    <w:p>
      <w:r>
        <w:t>Der Vollständigkeit halber bleibt anzumerken, dass das Bundesverwaltungsgericht grundsätzlich von der Schutzfähigkeit und dem Schutzwillen der pakistanischen Behörden ausgeht (vgl. etwa die Urteile des Bundesverwaltungsgerichts [...] vom 3. Februar 2016, [...] vom 8. Januar 2016 und [...] vom 21. Juli 2015). Auf den Einwand des Beschwerdeführers, er könne nicht in einer anderen Region Pakistans leben, da er dort wegen seines Aussehens und seines Namens Aufmerksamkeit erregen würde, ist deshalb nicht weiter einzugehen. Im Übrigen ist nicht ersichtlich, weshalb sich der Beschwerdeführer nicht in einen anderen Teil seines flächenmässig grossen Heimatstaats (ungefähr die zwanzigfache Grösse der Schweiz bzw. mehr als die doppelte Grösse Deutschlands aufweisend) begeben könnte. Dass er allein aufgrund seines Namens und Aussehens in einem Land, in dem mehr als 180 Millionen Menschen leben, überall auffallen sollte, ist schlicht unrealistisch.</w:t>
      </w:r>
    </w:p>
    <w:p>
      <w:r>
        <w:rPr>
          <w:b/>
        </w:rPr>
        <w:t>E. 5.3</w:t>
      </w:r>
    </w:p>
    <w:p>
      <w:r>
        <w:t>Auch mit den allgemeinen Ausführungen zur Diskriminierung von Paschtunen vermag der Beschwerdeführer keine begründete Furcht vor gezielt gegen ihn gerichteten Verfolgungsmassnahmen asylrechtlich relevanten Ausmasses zu begründen. Mit den geltend gemachten wirtschaftlichen Schwierigkeiten vermag er die Flüchtlingseigenschaft gemäss Art. 3 AsylG ebenfalls nicht zu erfüllen.</w:t>
      </w:r>
    </w:p>
    <w:p>
      <w:r>
        <w:rPr>
          <w:b/>
        </w:rPr>
        <w:t>E. 5.4</w:t>
      </w:r>
    </w:p>
    <w:p>
      <w:r>
        <w:t>Dem Beschwerdeführer ist es aufgrund des Gesagten nicht gelungen, die Flüchtlingseigenschaft gemäss Art. 3 AsylG nachzuweisen oder zumindest glaubhaft zu machen. Das SEM hat das Asylgesuch zu Recht abgelehnt.</w:t>
      </w:r>
    </w:p>
    <w:p>
      <w:r>
        <w:rPr>
          <w:b/>
        </w:rPr>
        <w:t>E. 6</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hinsichtlich des Wegweisungsvollzugs erhobene formelle Rüge des Beschwerdeführers, das SEM habe sich mit der Frage der Zulässigkeit des Vollzugs nicht auseinandergesetzt und damit das rechtliche Gehör verletzt, ist unbegründet (vgl. die entsprechenden Ausführungen zur Zulässigkeit in der angefochtenen Verfügung vom 30. Dezember 2015 S. 4 [III/1.]). Der Rückweisungsantrag ist damit abzuweisen.</w:t>
      </w:r>
    </w:p>
    <w:p>
      <w:r>
        <w:rPr>
          <w:b/>
        </w:rPr>
        <w:t>E. 7.3</w:t>
      </w:r>
    </w:p>
    <w:p>
      <w:r>
        <w:t>Der Vollzug ist nicht zulässig, wenn völkerrechtliche Verpflichtungen der Schweiz einer Weiterreise der Ausländerin oder des Ausländers in den Heimat-, Herkunfts- oder einen Drittstaat entgegenstehen (Art. 83 Abs. 3 AuG).</w:t>
      </w:r>
    </w:p>
    <w:p>
      <w:r>
        <w:rPr>
          <w:b/>
        </w:rPr>
        <w:t>E. 7.3.1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kein konkreter Anlass zur Annahme, dem Beschwerdeführer würde bei einer Rückkehr nach Pakistan eine menschenrechtwidrige Behandlung drohen, zumal es ihm nicht gelungen ist, eine asylrechtlich beachtliche Verfolgung darzulegen. Auch die allgemeine Menschenrechtssituation in Pakistan lässt den Wegweisungsvollzug nicht als unzulässig erscheinen.</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Pakistan herrscht - wie vom SEM zutreffend festgehalten - keine landesweite Situation allgemeiner Gewalt, die zur Annahme führen müsste, jede dorthin zurückkehrende Person sei mit erheblicher Wahrscheinlichkeit konkret gefährdet. Der Wegweisungsvollzug ist daher generell zumutbar. Ebenso hat die Vorinstanz berücksichtigt, dass die Sicherheitslage in der Heimatregion des Beschwerdeführers - Khyber Agency (als Teil der Federally Administered Tribal Areas [FATA]) - als kritisch zu bezeichnen ist. Dass und weshalb diese Einschätzung unzutreffend wäre, wird in der Beschwerdeschrift nicht dargelegt. Das Gericht sieht auch keine Veranlassung, von der vorinstanzlichen Beurteilung der generellen Zumutbarkeit des Wegweisungsvollzugs abzuweichen (vgl. hierzu auch Bundesamt für Fremdenwesen und Asyl, Fact Finding Mission Report Pakistan, September 2015, http://www.bfa.gv.at/files/berichte/BFA_pakistan_ffm_report_2015_09_v2.pdf; FATA Research Centre [FRC], Security Report Fourth Quarter 2015, http://frc.com.pk/news/frc-security-report-fourth-quater-2015; beide Internetquellen abgerufen am 19. Februar 2016).</w:t>
      </w:r>
    </w:p>
    <w:p>
      <w:r>
        <w:rPr>
          <w:b/>
        </w:rPr>
        <w:t>E. 7.4.2</w:t>
      </w:r>
    </w:p>
    <w:p>
      <w:r>
        <w:t>Den Akten lassen sich auch keine konkreten Anhaltspunkte dafür entnehmen, dass der Beschwerdeführer aus individuellen Gründen wirtschaftlicher, sozialer oder gesundheitlicher Natur bei einer Rückkehr nach Pakistan in eine existenzbedrohende Situation geraten würde. Der Beschwerdeführer, der keine gesundheitlichen Beeinträchtigungen vorbrachte, verfügt im Heimatstaat gemäss eigenen Angaben über ein familiäres Beziehungsnetz. Zudem kann er Arbeitserfahrung vorweisen. Damit darf davon ausgegangen werden, dass er in der Lage sein wird, sich wieder zu integrieren. Allfällige anfängliche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(vgl. BVGE 2010/41 E. 8.3.6 [S. 591 f.]).</w:t>
      </w:r>
    </w:p>
    <w:p>
      <w:r>
        <w:rPr>
          <w:b/>
        </w:rPr>
        <w:t>E. 7.5</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7.6</w:t>
      </w:r>
    </w:p>
    <w:p>
      <w:r>
        <w:t>Das SEM hat den Wegweisungsvollzug aufgrund des Gesagten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vorliegendem Urteil ist das Beschwerdeverfahren abgeschlossen, womit sich der Antrag auf Verzicht auf die Erhebung eines Kostenvorschusses als gegenstandslos erweist.</w:t>
      </w:r>
    </w:p>
    <w:p>
      <w:r>
        <w:rPr>
          <w:b/>
        </w:rPr>
        <w:t>E. 9.2</w:t>
      </w:r>
    </w:p>
    <w:p>
      <w:r>
        <w:t>Das in der Eingabe vom 11. Januar 2016 gestellte Gesuch um Gewährung der unentgeltlichen Prozessführung gemäss Art. 65 Abs. 1 VwVG ist abzuweisen, da die Begehren - wie sich aus den vorstehenden Erwägungen ergibt - als aussichtslos zu bezeichnen waren, weshalb die Voraussetzungen von Art. 65 Abs. 1 VwVG - ungeachtet einer allfälligen Bedürftigkeit des Beschwerdeführers - nicht erfüllt sind.</w:t>
      </w:r>
    </w:p>
    <w:p>
      <w:r>
        <w:rPr>
          <w:b/>
        </w:rPr>
        <w:t>E. 9.3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