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D-1887/2010 vom 31. August 2010</w:t>
      </w:r>
    </w:p>
    <w:p>
      <w:r>
        <w:t>Bundesverwaltungsgericht, 2010-08-31, DE</w:t>
      </w:r>
    </w:p>
    <w:p>
      <w:r>
        <w:rPr>
          <w:b/>
        </w:rPr>
        <w:t xml:space="preserve">Quelle: </w:t>
      </w:r>
      <w:r>
        <w:t>https://mcp.opencaselaw.ch/entscheid/bvger_D-1887_2010</w:t>
      </w:r>
    </w:p>
    <w:p>
      <w:r>
        <w:t>FR: TAF D-1887/2010 du 31 août 2010</w:t>
      </w:r>
    </w:p>
    <w:p>
      <w:r>
        <w:t>IT: TAF D-1887/2010 del 31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5.1</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5.2</w:t>
      </w:r>
    </w:p>
    <w:p>
      <w:r>
        <w:t>Nach Prüfung der Akten durch das Gericht ist - in Übereinstimmung mit der Vorinstanz - festzustellen, dass die Vorbringen des Beschwerdeführers den Anforderungen an die Glaubhaftigkeit gemäss Art. 7 AsylG nicht standzuhalten vermögen, weshalb diesbezüglich zur Vermeidung von Wiederholungen vorab auf die zutreffenden vorinstanzlichen Erwägungen zu verweisen ist (vgl. Ziffer I; Bst. B. vorstehend). Die in der Rechtsmittelschrift geltend gemachte Erklärung des Beschwerdeführers, wonach er sich bei den Befragungen bezüglich seines Aufenthalts im Zeitpunkt des Überfalls vom 14. Januar 2008 nicht widersprochen habe, da mit der anlässlich der Kurzbefragung erwähnten "hinteren Strasse" er sein bei der Anhörung erwähntes Büro gemeint habe, überzeugt das Gericht nicht. Gegen die Glaubhaftigkeit der vom Beschwerdeführer vorgebrachten Verfolgungs-vorbringen spricht zudem der Umstand, dass er anlässlich der Anhörung nur sehr unsubstanziiert Auskunft darüber geben konnte, was mit den Leuten passiert sei, die am 14. Januar 2008 von der "Failaq Badr" bei der Firma G._______ verhaftet worden sein sollen (Akten BFM A 12/22, S. 18). Es ist davon auszugehen, dass der Beschwerdeführer darüber viel detaillierter hätte berichten können, hätte sich der behauptete Überfall durch die "Failaq Badr" wirklich zugetragen, zumal er eine Woche später an seinen Arbeitsplatz bei der Firma G._______ zurückgekehrt sein will, wo er zweifellos erfahren hätte, was mit den angeblich festgenommen Leuten geschehen ist. Als unglaubhaft erscheinen die Asylvorbringen des Beschwerdeführers im Weiteren auch deshalb, weil er anlässlich der Anhörung geltend machte, er habe den Irak - trotz der bestehenden Gefahr - deshalb nicht früher verlassen, da er kurz vor Ende seines Studiums gestanden habe (Akten BFM A 12/22, S. 9 f.). Es ist davon auszugehen, dass der Beschwerdeführer sein Heimatland vor Abschluss seines Studiums verlassen hätte, würde er tatsächlich - wie von ihm geltend gemacht wird - im Irak von der "Failaq Badr" mit dem Tod bedroht. An dieser Einschätzung vermögen auch die diesbezüglichen Ausführungen in der Rechtsmittelschrift nichts zuändern. Erhebliche Zweifel an den Verfolgungsvorbringen des Beschwerdeführers weckt überdies die Tatsache, dass er erst neun Tage nach seiner Ankunft in der Schweiz - und nach dem Besuch einer viertägigen Weiterbildungsveranstaltung in I._______ - um Asyl nachsuchte. Erfahrungsgemäss sind tatsächlich verfolgte Personen nämlich bestrebt, unverzüglich nach dem Verlassen des Heimatstaates um Schutz nachzusuchen. Nach dem Gesagten ist davon auszugehen, es handle sich bei den geltend gemachten Asylgründen des Beschwerdeführers um ein Sachverhaltskonstrukt, weswegen auch nicht geglaubt werden kann, dass er bei einer Rückkehr in den Irak von der "Failaq Badr" etwas zu befürchten hätte.</w:t>
      </w:r>
    </w:p>
    <w:p>
      <w:r>
        <w:rPr>
          <w:b/>
        </w:rPr>
        <w:t>E. 5.3</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in den Irak befürchten müsste. Der Beschwerdeführer vermag mit seinen Beschwerdevorbringen und den zahlreich eingereichten Beweismitteln zu keiner anderen Betrachtungsweise zu führen, weshalb es sich erübrigt, weiter darauf einzugehen. Er erfüllt somit die Voraussetzungen zur Zuerkennung der Flüchtlingseigenschaft nicht, weshalb die Vorinstanz das Asylbegehren zu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Da der Beschwerdeführer mit Verfügung des BFM vom 19. Februar 2010 in der Schweiz vorläufig aufgenommen wurde (vgl. Ziffern 4 - 7 der vorinstanzlichen Verfügung), erübrigen sich Ausführungen zur Frage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30. April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