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D-1877/2022 vom 3. Mai 2022</w:t>
      </w:r>
    </w:p>
    <w:p>
      <w:r>
        <w:t>Bundesverwaltungsgericht, 2022-05-03, DE</w:t>
      </w:r>
    </w:p>
    <w:p>
      <w:r>
        <w:rPr>
          <w:b/>
        </w:rPr>
        <w:t xml:space="preserve">Quelle: </w:t>
      </w:r>
      <w:r>
        <w:t>https://mcp.opencaselaw.ch/entscheid/bvger_D-1877_2022</w:t>
      </w:r>
    </w:p>
    <w:p>
      <w:r>
        <w:t>FR: TAF D-1877/2022 du 3 mai 2022</w:t>
      </w:r>
    </w:p>
    <w:p>
      <w:r>
        <w:t>IT: TAF D-1877/2022 del 3 maggio 2022</w:t>
      </w:r>
    </w:p>
    <w:p>
      <w:pPr>
        <w:pStyle w:val="Heading2"/>
      </w:pPr>
      <w:r>
        <w:t>Regeste</w:t>
      </w:r>
    </w:p>
    <w:p>
      <w:r>
        <w:t>Nichteintreten auf Asylgesuch und Wegweisung (Dublin-Verfahren)</w:t>
      </w:r>
    </w:p>
    <w:p>
      <w:pPr>
        <w:pStyle w:val="Heading2"/>
      </w:pPr>
      <w:r>
        <w:t>Erwägungen</w:t>
      </w:r>
    </w:p>
    <w:p>
      <w:r>
        <w:rPr>
          <w:b/>
        </w:rPr>
        <w:t>E. 1.1</w:t>
      </w:r>
    </w:p>
    <w:p>
      <w:r>
        <w:t>Das Bundesverwaltungsgericht hat nach Eingang der Beschwerde un- ter entsprechenden Geschäftsnummern zwei separate Verfahren eröffnet. Das vorliegende Verfahren D-1877/2022 hat – wie nachfolgend aufge- zeigt – die Beschwerde gegen das vom SEM in Anwendung der Bestim- mungen des Dublin-Verfahrens und gestützt auf Art. 31a Abs. 1 Bst. b AsylG verfügte Nichteintreten auf das Asylgesuch mit Anordnung der Weg- weisung nach Österreich zum Gegenstand. Das Verfahren D-1918/2022 hat demgegenüber die vom Beschwerdeführer beantragte ZEMIS-Daten- änderung zum Gegenstand; auf die unter diesem Titel gestellten Anträge wird im Rahmen des separaten Verfahrens zurückgekommen.</w:t>
      </w:r>
    </w:p>
    <w:p>
      <w:r>
        <w:rPr>
          <w:b/>
        </w:rPr>
        <w:t>E. 1.2</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1.3</w:t>
      </w:r>
    </w:p>
    <w:p>
      <w:r>
        <w:t>Das Verfahren richtet sich nach dem VwVG, dem VGG und dem BGG, soweit das AsylG nichts anderes bestimmt (Art. 37 VGG und Art. 6 AsylG).</w:t>
      </w:r>
    </w:p>
    <w:p>
      <w:r>
        <w:rPr>
          <w:b/>
        </w:rPr>
        <w:t>E. 1.4</w:t>
      </w:r>
    </w:p>
    <w:p>
      <w:r>
        <w:t>Die Kognition des Gerichts und die zulässigen Rügen richten sich im Asylbereich nach Art. 106 Abs. 1 AsylG (vgl. BVGE 2014/26 E. 5).</w:t>
      </w:r>
    </w:p>
    <w:p>
      <w:r>
        <w:t>D-1877/2022 Seite 8</w:t>
      </w:r>
    </w:p>
    <w:p>
      <w:r>
        <w:rPr>
          <w:b/>
        </w:rPr>
        <w:t>E. 1.5</w:t>
      </w:r>
    </w:p>
    <w:p>
      <w:r>
        <w:t>Der Beschwerdeführer ist legitimiert (Art. 48 Abs.1 VwVG) und die Be- schwerde gegen den asylrechtlichen Nichteintretens- und Wegweisungs- entscheid wurde frist- und formgerecht eingereicht (Art. 108 Abs. 3 AsylG; Art. 52 Abs. 1 VwVG), womit insofern auf die Beschwerde einzutreten ist.</w:t>
      </w:r>
    </w:p>
    <w:p>
      <w:r>
        <w:rPr>
          <w:b/>
        </w:rPr>
        <w:t>E. 1.6</w:t>
      </w:r>
    </w:p>
    <w:p>
      <w:r>
        <w:t>Die Beschwerde erweist sich – wie nachfolgend aufgezeigt – im vorlie- gend zu behandelnden Umfang als offensichtlich unbegründet, weshalb über diese im Verfahren einzelrichterlicher Zuständigkeit mit Zustimmung eines zweiten Richters oder einer zweiten Richterin, ohne Durchführung eines Schriftenwechsels und mit summarischer Begründung zu entschei- den ist (vgl. Art. 111 Bst. e sowie Art. 111a Abs. 1 und 2 AsylG).</w:t>
      </w:r>
    </w:p>
    <w:p>
      <w:r>
        <w:rPr>
          <w:b/>
        </w:rPr>
        <w:t>E. 2</w:t>
      </w:r>
    </w:p>
    <w:p>
      <w:r>
        <w:t>Vom Beschwerdeführer wird im Sinne eines Eventualantrages die Rück- weisung der Sache an die Vorinstanz zwecks einer umfassenden Abklä- rung seines Alters beantragt (vgl. Begehren Nr. 5 und Beschwerdebegrün- dung Ziff. 33). Aufgrund der Aktenlage ist jedoch offensichtlich von einem genügend erstellten Sachverhalt bezüglich Altersangaben auszugehen (vgl. auch nachfolgend). Damit fällt die eventualiter beantragte Rückwei- sung der Sache ausser Betracht und das Gericht hat in der Sache zu ent- scheiden (Art. 61 Abs. 1 VwVG).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(nach Art. 23–25 Dublin-III-VO) – und damit in der Konstellation wie vorliegend (vgl. nachfolgend, E. 4.1) – findet grund- sätzlich keine (neue) Zuständigkeitsprüfung nach Kapitel III Dublin-III-VO mehr statt (vgl. zum Ganzen BVGE 2017 VI/5 E. 6.2 und 8.2.1).</w:t>
      </w:r>
    </w:p>
    <w:p>
      <w:r>
        <w:t>D-1877/2022 Seite 9</w:t>
      </w:r>
    </w:p>
    <w:p>
      <w:r>
        <w:rPr>
          <w:b/>
        </w:rPr>
        <w:t>E. 3.3</w:t>
      </w:r>
    </w:p>
    <w:p>
      <w:r>
        <w:t>In der Dublin-III-VO ist allerdings neben anderen Garantien für Minder- jährige auch jene verankert, dass im Falle eines unbegleiteten Minderjäh- rigen ohne familiäre Anknüpfungspunkte jener Staat zuständig ist, in dem er seinen Antrag gestellt hat (Art. 8 Abs. 4 Dublin-III-VO), weshalb Minder- jährige praxisgemäss von Wiederaufnahmeverfahren ausgenommen sind (vgl. FILZWIESER/SPRUNG, Dublin III-Verordnung, 2014, Kap. 15 f. zu Art. 8).</w:t>
      </w:r>
    </w:p>
    <w:p>
      <w:r>
        <w:rPr>
          <w:b/>
        </w:rPr>
        <w:t>E. 3.4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Satz 2 und 3 Dublin-III-VO).</w:t>
      </w:r>
    </w:p>
    <w:p>
      <w:r>
        <w:rPr>
          <w:b/>
        </w:rPr>
        <w:t>E. 3.5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das SEM das Asylgesuch aus humanitären Gründen auch dann behandeln, wenn dafür gemäss Dublin-III-VO ein anderer Staat zu- ständig wäre. Nach der Konzeption des Gesetzes kommt dem SEM bei der Frage der Anwendung von Art. 29a Abs. 3 AsylV 1 ein Ermessensspiel- raum zu (vgl. BVGE 2015/9 E. 8.2.2). Liegen hingegen individuelle völker- rechtliche Überstellungshindernisse vor, ist der Selbsteintritt zwingend (vgl. BVGE 2015/9 E. 8.2.1 und 2011/9 E. 4.1 m.w.H.).</w:t>
      </w:r>
    </w:p>
    <w:p>
      <w:r>
        <w:rPr>
          <w:b/>
        </w:rPr>
        <w:t>E. 4.1</w:t>
      </w:r>
    </w:p>
    <w:p>
      <w:r>
        <w:t>Durch den Eurodac-Datenabgleich ist ausgewiesen, dass der Be- schwerdeführer vor der Schweiz in Österreich einen Asylantrag gestellt hat (am 22. November 2021), nachdem er zuvor bereits in Griechenland einen</w:t>
      </w:r>
    </w:p>
    <w:p>
      <w:r>
        <w:t>D-1877/2022 Seite 10 Antrag gestellt hatte (am 24. September 2021). Vor diesem Hintergrund ist das SEM zu Recht vorab mit Auskunftsersuchen an beide Staaten gelangt. Dies nicht nur wegen der vom Beschwerdeführer anlässlich der Gesuchs- einreichung geltend gemachten Minderjährigkeit, sondern auch deshalb, weil immerhin die Möglichkeit bestand, dass ihm von einem der beiden Staaten schon Schutz gewährt worden war (bspw. auch nur schon subsidi- ärer Schutz wegen seiner Herkunft). Nachdem beide Staaten mitgeteilt hat- ten, dass über den Antrag des Beschwerdeführers noch nicht entschieden worden sei, und das SEM gleichzeitig berechtigterweise von dessen Voll- jährigkeit ausging (vgl. dazu nachfolgend), ist es am 24. Januar 2022 mit seinem Wiederaufnahmeersuchen an Österreich gelangt. Österreich hat sich am 4. Februar 2022 ausdrücklich zur Wiederaufnahme des Beschwer- deführers nach Art. 18 Abs. 1 Bst. b Dublin-III-VO – und damit zwecks Fort- setzung der Behandlung und inhaltlichen Prüfung seines Asylantrages – bereit erklärt. Damit ist die Grundlage für einen Nichteintretensentscheid in Anwendung von Art. 31a Abs. 1 Bst. b AsylG und die Anordnung der Weg- weisung nach Österreich grundsätzlich gegeben.</w:t>
      </w:r>
    </w:p>
    <w:p>
      <w:r>
        <w:rPr>
          <w:b/>
        </w:rPr>
        <w:t>E. 4.2</w:t>
      </w:r>
    </w:p>
    <w:p>
      <w:r>
        <w:t>Der Beschwerdeführer hält der angefochtenen Verfügung entgegen, es müsse weiterhin von seiner Minderjährigkeit ausgegangen werden, wes- halb einer Wegweisung nach Österreich die Bestimmung von Art. 8 Abs. 4 Dublin-III-VO entgegenstehe. Dem Einwand wäre zu folgen, wenn tatsäch- lich überwiegende Hinweise für seine Minderjährigkeit vorliegen würden. Die angebliche Minderjährigkeit ist jedoch aufgrund der Aktenlage – wie vom SEM zu Recht erkannt – weder nachgewiesen noch zumindest über- wiegend glaubhaft gemacht, sondern vielmehr mit hinreichender Sicherheit auszuschliessen. Der Beschwerdeführer blendet in seinen anders lauten- den Vorbringen zunächst aus, dass eine geltend gemachte Minderjährig- keit von der asylsuchenden Person zu beweisen ist, soweit ihr ein Beweis möglich ist, und andernfalls wenigstens glaubhaft zu machen, da sie die Beweislast dafür trägt, auch wenn das SEM die entscheidrelevanten Sach- verhaltsmomente von Amtes wegen festzustellen hat (vgl. Entscheidungen und Mitteilungen der [vormaligen] Asylrekurskommission [EMARK] 2004 Nr. 30 E. 5 ff.). Vom Beschwerdeführer wird die Minderjährigkeit bloss be- hauptet, verbunden mit der Vorlage von Beweismitteln ohne nennenswerte Beweiskraft, deren Inhalt zudem teilweise im Widerspruch zu seinen Anga- ben steht. Zwar trifft es zu, dass er – wie in der Beschwerde angerufen – gemäss allen von ihm im Rahmen der EB UMA vertretenen Varianten sei- nes Geburtsdatums im Jahre 2005 geboren sei. Indes kann eben gerade nicht überzeugen, dass er an dieser Stelle überhaupt verschiedene Vari-</w:t>
      </w:r>
    </w:p>
    <w:p>
      <w:r>
        <w:t>D-1877/2022 Seite 11 anten angeführt hat. Dabei überzeugt auch das Vorbringen seiner Rechts- vertreterin nicht, wonach es sich bei ihm jedenfalls ihrer eigenen Wahrneh- mung gemäss um einen UMA handle. Den wenig überzeugenden Angaben und Ausführungen des Beschwerdeführers zu seinem Alter steht das ins- gesamt schlüssige interdisziplinäre Gutachten des IRM vom 11. Januar 2022 gegenüber, laut welchem er mit an Sicherheit grenzender Wahr- scheinlichkeit schon seit langem die Volljährigkeit erreicht hat, indem von einem Mindestalter von 21.6 Jahren auszugehen sei. Die vom Beschwer- deführer gegen dieses Gutachten eingebrachten Einwände gehen an des- sen eigentlichem Gehalt vorbei. So blendet er aus, dass bei ihm allen drei beurteilten medizinischen Merkmale – also die Entwicklung seiner Hand- wurzelknochen, die Entwicklung seiner Zähne und die Entwicklung seiner Brustbein-Schlüsselbein-Gelenke – jener einer erwachsenen Person ent- sprechen. Da damit auch jenes Merkmal, dessen Entwicklung stets als Letztes abgeschlossen wird (die Verknöcherung der medialen Schlüssel- beinepiphysen), vollständig entwickelt ist – was laut IRM allerfrühesten Fall im Alter von 21.6 Jahren hat beobachtet werden können – kann tat- sächlich kein Zweifel an seiner Volljährigkeit bestehen.</w:t>
      </w:r>
    </w:p>
    <w:p>
      <w:r>
        <w:rPr>
          <w:b/>
        </w:rPr>
        <w:t>E. 4.3</w:t>
      </w:r>
    </w:p>
    <w:p>
      <w:r>
        <w:t>Für die im vorliegenden Verfahren interessierende Frage danach, ob aufgrund der Aktenlage von der Volljährigkeit des Beschwerdeführers aus- zugehen ist – welche nach dem Gesagten zu bejahen ist, ist im Übrigen unbeachtlich, dass hinsichtlich der Frage des im ZEMIS unter der Rubrik "Hauptidentität" eingetragenen Geburtsdatums noch kein rechtskräftiger Entscheid vorliegt. Der Beschwerdeführer geht fehl, wen er alleine von da- her als Minderjähriger behandelt werden will.</w:t>
      </w:r>
    </w:p>
    <w:p>
      <w:r>
        <w:rPr>
          <w:b/>
        </w:rPr>
        <w:t>E. 4.4</w:t>
      </w:r>
    </w:p>
    <w:p>
      <w:r>
        <w:t>Nach dem Gesagten bleibt festzuhalten, dass vorliegend auch keine Gründe ersichtlich sind, welche für eine Anwendung der Ermessensklausel nach Art. 17 Abs. 1 Satz 1 Dublin-III-VO respektive für ein Eintreten auf das Asylgesuch unter dem Aspekt der humanitären Gründe nach Art. 29a Abs. 3 AsylV 1sprechen würden. Österreich ist Signatarstaat der EMRK (SR 0.101) und der Flüchtlingskonvention (FK, SR 0.142.30) sowie des Zu- satzprotokolls der FK (SR 0.142.301), wobei Österreich nach Auffassung der Schweiz seinen diesbezüglichen völkerrechtlichen Verpflichtungen nachkommt. Es bestehen auch keine Zweifel daran, dass Österreich die Rechte anerkennt und schützt, die sich für Schutzsuchende aus der sog. Verfahrensrichtlinie (2013/32/EU) und der sog. Aufnahmerichtlinie (2013/33/EU) ergeben. Vorliegend sind keine Sachverhaltsumstände er- sichtlich gemacht, welche zu einem anderen Entscheid führen könnten. Es</w:t>
      </w:r>
    </w:p>
    <w:p>
      <w:r>
        <w:t>D-1877/2022 Seite 12 darf ohne weiteres davon ausgegangen werden, die Versorgung des Be- schwerdeführers sei in Österreich in jeder Hinsicht gewährleistet und er könne gegenüber den dort zuständigen Behörden auch vollumfänglich seine Rechte wahrnehmen.</w:t>
      </w:r>
    </w:p>
    <w:p>
      <w:r>
        <w:rPr>
          <w:b/>
        </w:rPr>
        <w:t>E. 5</w:t>
      </w:r>
    </w:p>
    <w:p>
      <w:r>
        <w:t>Nach dem Gesagten ist die angefochtene Verfügung zu bestätigen und die Beschwerde als offensichtlich unbegründet abzuweisen.</w:t>
      </w:r>
    </w:p>
    <w:p>
      <w:r>
        <w:rPr>
          <w:b/>
        </w:rPr>
        <w:t>E. 6</w:t>
      </w:r>
    </w:p>
    <w:p>
      <w:r>
        <w:t>Mit vorliegendem Urteil in der Hauptsache ist das Gesuch um Gewährung der aufschiebenden Wirkung (nach Art. 107a Abs. 2 AsylG) gegenstands- los geworden, wie vorliegend auch das Gesuch um Befreiung von der Kos- tenvorschusspflicht (gemäss Art. 63 Abs. 4 VwVG). Das Gesuch um Gewährung der unentgeltlichen Rechtspflege (nach Art. 65 Abs. 1 VwVG) ist im Urteilszeitpunkt abzuweisen, da sich die Be- schwerde nach dem Gesagten im vorliegend zu behandelnden Umfang als von Anfang an aussichtslos erwiesen hat. Dem Beschwerdeführenden sind daher die Kosten des vorliegenden Ver- fahrens aufzuerlegen und auf Fr. 750.– festzusetzen (Art. 63 Abs. 1 VwVG; Art. 1–3 des Reglements vom 21. Februar 2008 über die Kosten und Ent- schädigungen vor dem Bundesverwaltungsgericht [VGKE, SR 173.320.2]).</w:t>
      </w:r>
    </w:p>
    <w:p>
      <w:r>
        <w:t>(Dispositiv nächste Seite)</w:t>
      </w:r>
    </w:p>
    <w:p>
      <w:r>
        <w:t>D-1877/2022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