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D-1873/2016 vom 12. April 2016</w:t>
      </w:r>
    </w:p>
    <w:p>
      <w:r>
        <w:t>Bundesverwaltungsgericht, 2016-04-12, DE</w:t>
      </w:r>
    </w:p>
    <w:p>
      <w:r>
        <w:rPr>
          <w:b/>
        </w:rPr>
        <w:t xml:space="preserve">Quelle: </w:t>
      </w:r>
      <w:r>
        <w:t>https://mcp.opencaselaw.ch/entscheid/bvger_D-1873_2016</w:t>
      </w:r>
    </w:p>
    <w:p>
      <w:r>
        <w:t>FR: TAF D-1873/2016 du 12 avril 2016</w:t>
      </w:r>
    </w:p>
    <w:p>
      <w:r>
        <w:t>IT: TAF D-1873/2016 del 12 aprile 2016</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38 der Verordnung über die Durchführung von Testphasen zu den Beschleunigungsmassnahmen im Asylbereich [TestV, SR 142.318.1] i.V.m. Art. 112b Abs. 3 AsylG; Art. 48 Abs. 1 sowie Art. 52 Abs. 1 VwVG). Auf die Beschwerde ist - unter Vorbehalt der nachfolgenden Erwägungen - einzutreten.</w:t>
      </w:r>
    </w:p>
    <w:p>
      <w:r>
        <w:rPr>
          <w:b/>
        </w:rPr>
        <w:t>E. 1.3</w:t>
      </w:r>
    </w:p>
    <w:p>
      <w:r>
        <w:t>Wie dem Dispositiv der angefochtenen Verfügung vom 16. März 2016 zu entnehmen ist, hat das SEM einer allfälligen Beschwerde die aufschiebende Wirkung nicht entzogen. Dementsprechend fehlt es in Bezug auf den Beschwerdeantrag 5, die aufschiebende Wirkung der Beschwerde sei wiederherzustellen, an einer Beschwer, weshalb auf dieses Beschwerdebegehren nicht einzutreten ist. Des Weiteren geht aus den dem Gericht vorliegenden Akten nicht hervor, die Vorinstanz habe dem Beschwerdeführer betreffende Daten an dessen Heimatstaat weitergegeben, weshalb auf das Eventualbegehren, es sei bei bereits erfolgter Datenweitergabe die Beschwerdeführerin darüber in einer separaten Verfügung zu informieren, mangels Rechtsschutzinteresses im Rahmen dieses Verfahrens ebenfalls nicht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5.1 In seiner Beschwerde vom 26. März 2016 macht der Beschwerdeführer zur Begründung seiner Beschwerdebegehren im Wesentlichen geltend, bei der Verbreitung seiner Botschaften habe er jeweils ein Thema bearbeitet und dazu Informationen gesammelt, teilweise mehrmals pro Woche. Wie er anlässlich der Anhörungen dargetan habe, sei er aufgrund des Autokennzeichens identifiziert worden. Bei der Rückübersetzung habe er sich immer wieder beschwert, weil der Dolmetscher seine Vorbringen nicht richtig übersetzt habe, doch hätten die diesbezüglichen Vorbringen keinen Niederschlag im Protokoll gefunden. Am 10. Dezember 2015 habe er an einer Veranstaltung in Q._______ teilgenommen, bei der sich die angeschlossenen Organisationen gegen das iranische Regime in Szene gesetzt hätten. Aufgrund seiner politischen Aktivitäten im In- und Ausland habe er begründete Furcht vor einer Rückkehr in den Heimatstaat. 5.2 Diese Vorbringen in der Beschwerdeschrift vermögen nicht zu einer veränderten Betrachtungsweise zu führen. 5.2.1 Wie sich aus den Akten ergibt, wurde dem Beschwerdeführer nicht nur das Protokoll vom 16. November 2015 (BzP), sondern auch dasjenige vom 4. März 2016 in eine ihm verständliche Sprache (Farsi) rückübersetzt. Bei dieser Gelegenheit hatte der Beschwerdeführer die Möglichkeit, gegebenenfalls Korrekturen bezüglich einzelner Vorbringen oder auch blosse Ergänzungen zu den Protokollinhalten anzubringen. Soweit er diese Gelegenheit wahrnahm und sich im Rahmen der Rückübersetzung äusserte, fanden seine Stellungnahmen Aufnahme in das Protokoll (vgl. A36/24 S. 24). Es ist entgegen den Vorbringen in der Beschwerdeschrift davon auszugehen, dass die Protokollierung korrekt verlief, zumal sich die Rechtsvertretung des Beschwerdeführers nicht veranlasst sah, die Protokollführung in irgendeiner Weise zu beanstanden. Dementsprechend muss sich der Beschwerdeführer bei seinen Erklärungen, wie sie in die Protokolle Eingang gefunden haben, behaften lassen. 5.2.2 Der Beschwerdeführer machte zur Begründung seines Asylgesuchs im Wesentlichen geltend, er habe nachts um etwa 23.00 oder 24.00 Uhr mit zwei Gesinnungsgenossen (A36/24 F 75 S. 8) eine Wand mit dem Slogan "Tod dem Khamenei" beschriftet (a.a.O. F92 S. 10). Dies hätten die Ladenbesitzer bemerkt, nachdem es am Morgen heller geworden sei. Überwachungskameras, welche die nächtliche Szene aufgezeichnet hätten, seien in der Folge von Sicherheitsbeamten visioniert worden (a.a.O. F108 S. 12), wobei sie die Identität des Beschwerdeführers aufgrund eines Autokennzeichens hätten feststellen können (vgl. a.a.O. F65 S. 7). Als der Beschwerdeführer nach vollbrachter Tat, etwa zwei oder drei Stunden nach der Sprayaktion (A36/24 F179 S.19, F67 S. 8), auf dem Nachhauseweg gewesen sei, habe er von Ferne vor seinem Haus zwei Polizeiautos sowie Sicherheitsbeamte wahrgenommen und umgehend den Schluss gezogen, er werde gesucht (vgl. a.a.O. F93 S. 10). In der Folge sei er sofort untergetaucht. Diese Schilderung einer Verfolgungssituation durch den Beschwerdeführer ist indessen chronologisch unstimmig, wie dieser im späteren Verlauf der Anhörung zur Kenntnis nehmen musste. Nachdem ihm der Befrager nämlich die Frage gestellt hatte, wie es denn möglich sein solle, dass die Polizei noch in der gleichen Nacht innerhalb von zwei Stunden vor seinem Hause stehe (a.a.O. F183 S. 20), erkannte auch der Beschwerdeführer, dass sich die Polizei nicht zu einem Zeitpunkt vor seinem Haus manifestieren konnte, zu dem die Aufzeichnungen der Videokameras noch gar nicht ausgewertet sein konnten. In der Folge stellte er seine Darstellung des Sachverhalts in F92 in Abrede (vgl. a.a.O. F184 S. 20) und meinte im Rahmen der Rückübersetzung, "es müsse nicht die letzte Aufnahme gewesen sein, die sie zu uns geführt hat" (vgl. a.a.O. S. 24). Allerdings vermag auch diese Interpretation nicht zu einer veränderten Betrachtungsweise zu führen, zumal nicht anzunehmen ist, der Beschwerdeführer sei an den gleichen Ort innerhalb der Stadt zurückgekehrt, um den Schriftzug "Tod dem Khamenei" nochmals anzubringen oder ihn zu verschönern. Derartige Annahmen wären wirklichkeitsfremd. Dementsprechend drängt sich der Eindruck auf, der Beschwerdeführer habe bei der Schilderung seiner Verfolgungssituation nicht auf Erinnerungen an tatsächliche Begebenheiten zurückgreifen können, sondern stattdessen eine Verfolgungssituation lediglich erfunden. Dies zeigt sich im Übrigen bereits bei der Schilderung der Flugblattverteilaktionen, die einmal pro Woche während eines Monats stattgefunden hätten (a.a.O. F70/1 S. 8). Dabei ist es dem Beschwerdeführer nicht gelungen, glaubhaft zu machen, wie er in dieser kurzen Zeit die zahlreichen Themen abgehandelt haben will (a.a.O. F80 - F83 S. 9/10, F132/3 S. 15, Beschwerde S. 2). Zur Vermeidung von Wiederholungen kann im Übrigen auf die einlässlichen und zutreffenden Erwägungen in der angefochtenen Verfügung verwiesen werden. 5.2.3 Hinsichtlich der geltend gemachten exilpolitischen Tätigkeiten des Beschwerdeführers ist der Feststellung der Vorinstanz, er habe sich mit seinen exilpolitischen Aktivitäten nicht auf derartige Art und Weise betätigt und exponiert, dass er das (Verfolgungs-) Interesse der heimatlichen Behörden geweckt haben könnte (vgl. BVGE 2009/28 E. 7.4.3 S. 364 ff.), beizupflichten. Von einem eigentlichen politischen Engagement kann umso weniger die Rede sein, als es dem Beschwerdeführer nicht einmal möglich war, den Namen der politischen Gruppierung, deren Mitglied er in der Schweiz geworden sei, spontan zu nennen (A36/24 F78 S. 9); er musste ihn vielmehr von einem mitgebrachten Zettel ablesen. Eine besondere Exponiertheit in einer Weise, dass aufgrund seiner Persönlichkeit der Eindruck erweckt würde, der Beschwerdeführer sei eine Gefahr für das politische System des Irans, kann sich bei dieser Sachlage nicht ergeben. Die auf Beschwerdeebene gemachten Ausführungen vermögen an dieser Einschätzung nichts zu ändern. Die Feststellung der Vorinstanz bezüglich des Nichtvorliegens von subjektiven Nachfluchtgründen gemäss Art. 54 AsylG trifft somit zu. 5.2.4 Zusammenfassend sind die vorinstanzlichen Erwägungen vollumfänglich zu stützen. Der Beschwerdeführer erfüllt die Flüchtlingseigenschaft nicht, und das SEM hat folglich zu Recht sein Asylgesuch unter Verneinung der Flüchtlingseigenschaft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Die Vorinstanz führt in der angefochtenen Verfügung zu Recht aus, dass im Iran weder Krieg noch Bürgerkrieg noch eine Situation der allgemeinen Gewalt im Sinne von Art. 83 Abs. 4 AuG herrscht. Zudem ergeben sich aus den Akten auch keine individuellen Gründe, welche den Wegweisungsvollzug in den Iran als unzumutbar erscheinen lassen. Der Beschwerdeführer verfügt in seinem Heimatland über ein Beziehungsnetz. So leben seine Eltern, zwei Brüder und zwei Schwestern, weitere Verwandte (Onkel, Tanten) nebst Ehefrau und Tochter im Iran. Weiter verfügt er über einen Maturitätsabschluss und eine Ausbildung in (...) und sei als (...) tätig gewesen. Seine Ausbildung und Berufserfahrung sollten ihm erlauben, sich ein wirtschaftliches Auskommen zu sichern.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9.1</w:t>
      </w:r>
    </w:p>
    <w:p>
      <w:r>
        <w:t>Mit dem Entscheid in der Hauptsache ist das Gesuch um Verzicht auf die Erhebung eines Kostenvorschusses gegenstandslos geworden.</w:t>
      </w:r>
    </w:p>
    <w:p>
      <w:r>
        <w:rPr>
          <w:b/>
        </w:rPr>
        <w:t>E. 9.2</w:t>
      </w:r>
    </w:p>
    <w:p>
      <w:r>
        <w:t>Das mit der Beschwerde gestellte Gesuch um Gewährung der unentgeltlichen Rechtspflege im Sinne von Art. 65 Abs. 1 VwVG ist - ungeachtet der Frage der prozessualen Bedürftigkeit - abzuweisen, da die Begehren - wie sich aus den vorstehenden Erwägungen ergibt - als aussichtlos zu bezeichnen sind. Desgleichen ist das Gesuch um Bestellung eines amtlichen Rechtsbeistands mangels Erfüllung der Voraussetzungen von Art. 65 Abs. 1 VwVG abzuweisen.</w:t>
      </w:r>
    </w:p>
    <w:p>
      <w:r>
        <w:rPr>
          <w:b/>
        </w:rPr>
        <w:t>E. 9.3</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