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D-1869/2020 vom 25. Juli 2023</w:t>
      </w:r>
    </w:p>
    <w:p>
      <w:r>
        <w:t>Bundesverwaltungsgericht, 2023-07-25, DE</w:t>
      </w:r>
    </w:p>
    <w:p>
      <w:r>
        <w:rPr>
          <w:b/>
        </w:rPr>
        <w:t xml:space="preserve">Quelle: </w:t>
      </w:r>
      <w:r>
        <w:t>https://mcp.opencaselaw.ch/entscheid/bvger_D-1869_2020</w:t>
      </w:r>
    </w:p>
    <w:p>
      <w:r>
        <w:t>FR: TAF D-1869/2020 du 25 juillet 2023</w:t>
      </w:r>
    </w:p>
    <w:p>
      <w:r>
        <w:t>IT: TAF D-1869/2020 del 25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D-1869/2020 Seite 6</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w:t>
      </w:r>
    </w:p>
    <w:p>
      <w:r>
        <w:rPr>
          <w:b/>
        </w:rPr>
        <w:t>E. 4</w:t>
      </w:r>
    </w:p>
    <w:p>
      <w:r>
        <w:t>Die Vorinstanz hielt in ihrem Entscheid zum Asylpunkt fest, dass die Mit- wirkungspflicht im Asylverfahren den Aspekt einschliesse, dass Personen, die über ihre Identität täuschten, keine Schutzbedürftigkeit vor Verfolgung glaubhaft machen können. Solches sei bei den Beschwerdeführerenden der Fall, da A._______ auf dem Personalienblatt beim damaligen Emp- fangszentrum G._______ seinen Namen mit L._______ und seine Staats- angehörigkeit mit Irak angegeben habe. Bei der BzP habe er dies abgeän- dert und sich als M._______ und türkischer Kurde ohne Staatsangehörig- keit ausgegeben. Aus dem vom Beschwerdeführer eingereichten Ehever- trag und der Geburtsbestätigung seines Sohnes ergebe sich jedoch, dass A._______ im Irak als N._______ aus der irakischen Ortschaft O._______ registriert sei. Der Beschwerdeführer habe dies damit begründet, dass er sich mit der Identitätskarte seines Cousins P._______ ausgewiesen habe, was von den irakischen Behörden in die irakische Schreibweise A._______ übernommen worden sei, doch sei mangels anderer rechtsgenüglicher Be- weismittel respektive Identitätsdokumente die Identität A._______ im Zent- ralen Migrationsinformationssystem eingetragen worden. Insgesamt hätten die Beschwerdeführenden im Asylverfahren über die Identität von A._______ wiederholt täuschen wollen, was die persönliche Glaubwürdig- keit der Beschwerdeführenden in Frage ziehe. Weiter führt die Vorinstanz aus, dass auch unter der hypothetischen An- nahme, bei A._______ handle es sich um I._______, dieser die Flüchtlings- eigenschaft nicht glaubhaft machen könne. So seien seine Aussagen zu seiner Flucht in den Irak aufgrund einer Verurteilung wegen Mordes in der Türkei widersprüchlich ausgefallen. Einerseits habe er ausgesagt, vor dem Haftantritt in den Irak geflohen zu sein, andererseits habe er angegeben, erst im Jahr 2011 nach einem Erdbeben aus dem Gefängnis geflohen zu</w:t>
      </w:r>
    </w:p>
    <w:p>
      <w:r>
        <w:t>D-1869/2020 Seite 7 sein. Er habe unterschiedliche Angaben zum Namen des Getöteten, den Zeitpunkt des Geschehens und, ob er Besuch im Gefängnis erhalten habe, gemacht. Das eingereichte Urteil aus der Türkei stehe sodann in Wider- spruch zu seinen Aussagen, wonach sein Vater freigesprochen worden sei, und sei im Übrigen unvollständig. Daraus sei zu schliessen, dass die Ver- urteilung wegen Mordes nicht auf flüchtlingsrechtliche Verfolgung zurück- zuführen, sondern er vor einer staatlich legitimen Sanktion geflüchtet sei. Soweit A._______ auf die allgemeine politische, wirtschaftliche oder sozi- ale Lage im Irak hinweise, stelle diese keine flüchtlingsrechtlich relevante Verfolgung dar. Die Aussage von B._______, dass ihr Gatte und ihr Sohn wegen einer Fehde im Nordirak bedroht seien, sei einerseits nicht glaub- haft, weil A._______ das bisher nicht erwähnt habe, andererseits spreche der bisherige mehrjährige Aufenthalt im Irak dagegen, dass eine gezielte Verfolgung vorliegen könnte.</w:t>
      </w:r>
    </w:p>
    <w:p>
      <w:r>
        <w:rPr>
          <w:b/>
        </w:rPr>
        <w:t>E. 4.1</w:t>
      </w:r>
    </w:p>
    <w:p>
      <w:r>
        <w:t>Die Beschwerdeführenden bringen im Wesentlichen vor, dass A._______ in der Türkei eine langjährige Haftstrafe drohe. Dies sei auch im Irak denkbar, da er die irakischen Behörden über seine Identität ge- täuscht habe. Dort herrschten im Übrigen unmenschliche Haftbedingungen und beide Regierungen seien äusserst brutal. Überdies sei davon auszu- gehen, dass der Dolmetscher bei der Erstbefragung Iraker gewesen sei und dies zu Verständigungsproblemen und Missverständnissen geführt habe. Es müsse berücksichtigt werden, unter welch grosser Angst der Be- schwerdeführer gelitten habe, als er seine Aussagen gegenüber den Asylbehörden machte. Erst nach einiger Zeit in der Schweiz habe er ent- sprechendes Vertrauen in die hiesigen Behörden fassen können.</w:t>
      </w:r>
    </w:p>
    <w:p>
      <w:r>
        <w:rPr>
          <w:b/>
        </w:rPr>
        <w:t>E. 5</w:t>
      </w:r>
    </w:p>
    <w:p>
      <w:r>
        <w:t>Auf die Ausführungen der Vorinstanz kann im Wesentlichen verwiesen wer- den. Soweit die Vorinstanz anführt, der Beschwerdeführer habe seine Glaubwürdigkeit beschädigt, indem er offensichtlich falsche Angaben zu seiner Identität gemacht habe, ist dem zuzustimmen. Auch die neu beige- brachten Unterlagen erlauben keinen sicheren Rückschluss darauf, dass es sich bei der als I._______ bezeichneten Person tatsächlich um den Be- schwerdeführer handelt. Zumal diesen bloss in Kopie vorliegenden Unter- lagen kein Beweiswert zukommt. Weil der Beschwerdeführer wiederholt falsche Angaben zu seiner Identität vor den Asylbehörden gemacht hat und seine Angaben weiterhin nicht schlüssig erscheinen, ist das Vorbringen, dass es sich bei ihm um I._______ handle, nicht glaubhaft. Dass die fal- schen Angaben einer damaligen Angst des Beschwerdeführers geschuldet</w:t>
      </w:r>
    </w:p>
    <w:p>
      <w:r>
        <w:t>D-1869/2020 Seite 8 seien, ist nicht nachvollziehbar, wenn er die täuschenden Angaben gegen- über jenen Behörden vorbringt, bei welchen er um Schutz nachsucht. Die Kritik in der Beschwerde an der Übersetzung bei der Erstanhörung ist un- substantiiert, zumal keinerlei Beispiele vorgebracht werden, inwiefern diese falsch oder unpräzise sein soll.</w:t>
      </w:r>
    </w:p>
    <w:p>
      <w:r>
        <w:rPr>
          <w:b/>
        </w:rPr>
        <w:t>E. 5.1</w:t>
      </w:r>
    </w:p>
    <w:p>
      <w:r>
        <w:t>Der in der Türkei angeblich teilweise absolvierten Haftstrafe liegt ein gemeinrechtliches Delikt (Tötungsdelikt) zu Grunde. Es gibt keinen An- haltspunkt dafür, dass diese Sanktion aufgrund gezielter persönlicher Ver- folgung aus einem Grund nach Art. 3 AsylG erfolgt oder deswegen unver- hältnismässig hoch ausgefallen wäre. Soweit der Beschwerdeführer die (erhebliche) Sanktion für ein erhebliches Delikt fürchtet, ist dies nicht flücht- lingsrelevant. Auch wenn er vorbringt, dass seine Verurteilung ein Fehlur- teil gewesen sei, bringt er hierfür keine Hinweise vor. Ohnehin ist seine Darstellung, er habe die Schuld auf sich genommen, um seinen Vater zu schützen, in keiner Weise plausibel und widerspricht dem eingereichten Urteil, wonach der Vater zugleich als Anstifter der Tat verurteilt worden sein soll.</w:t>
      </w:r>
    </w:p>
    <w:p>
      <w:r>
        <w:rPr>
          <w:b/>
        </w:rPr>
        <w:t>E. 5.2</w:t>
      </w:r>
    </w:p>
    <w:p>
      <w:r>
        <w:t>Im Wesentlichen ist festzuhalten, dass der Beschwerdeführer derart wi- dersprüchliche Aussagen machte, dass die Glaubhaftigkeit seiner Vorbrin- gen insgesamt nicht gegeben ist. Hinzu kommt, dass selbst dann, wenn davon auszugehen wäre, dass er I._______ ist, anhand der vorliegenden Unterlagen darauf zu schliessen ist, dass er wegen eines Tötungsdelikts verurteilt wurde, das im Rahmen einer Fehde zwischen zwei Familien be- gangen wurde. Dass ihm wiederum ein Racheakt drohe, wird nicht sub- stantiiert vorgebracht respektive wird von B._______ behauptet, nicht aber von A._______. Es liegen in den Akten auch keine Hinweise dafür vor. Zu- sammenfassend ist der Vorinstanz somit zuzustimmen, dass die Aussagen der Beschwerdeführenden weder glaubhaft sind noch sich daraus eine flüchtlingsrechtliche Relevanz ableiten liesse. Dass dem Beschwerdefüh- rer im Irak angeblich eine Sanktion für die Erschleichung falscher Doku- mente drohen könnte, ist vor diesem Gesamtbild ebenfalls nicht glaubhaft und erscheint rein spekulativ. Überdies wäre deswegen auch nicht von flüchtlingsrechtlich relevanter Verfolgung auszugehen, zumal es sich um legitime strafrechtliche Verfolgung handeln würde.</w:t>
      </w:r>
    </w:p>
    <w:p>
      <w:r>
        <w:rPr>
          <w:b/>
        </w:rPr>
        <w:t>E. 5.3</w:t>
      </w:r>
    </w:p>
    <w:p>
      <w:r>
        <w:t>Die Beschwerdeführerin B._______ und deren gemeinsame Kinder lei- ten ihre Asylgesuche von der Verfolgung ihres Ehegatten respektive Vaters ab, weswegen auch gegenüber ihnen der Flüchtlingsstatus nicht anzuer- kennen und kein Asyl zu gewähren ist.</w:t>
      </w:r>
    </w:p>
    <w:p>
      <w:r>
        <w:t>D-1869/2020 Seite 9</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D-1869/2020 Seite 10 Das Prinzip des flüchtlingsrechtlichen Non-Refoulement schützt nur Perso- nen,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den Nord- irak ist demnach unter dem Aspekt von Art. 5 AsylG rechtmässig. Sodann ergeben sich weder aus den Aussagen der Beschwerdeführenden noch aus den Akten Anhaltspunkte dafür, dass sie für den Fall einer Aus- schaffung in den Nordirak dort mit beachtlicher Wahrscheinlichkeit einer nach Art. 3 EMRK oder Art. 1 FoK verbotenen Strafe oder Behandlung aus- gesetzt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Auch die allgemeine Menschenrechtssituation im Nordirak lässt den Wegweisungsvollzug zum heutigen Zeitpunkt nicht als unzulässig erscheinen. Nach dem Gesagten ist der Vollzug der Wegweisung sowohl im Sinne der landes- als auch der völkerrechtlichen Bestimmungen zuläs- 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w:t>
      </w:r>
    </w:p>
    <w:p>
      <w:r>
        <w:t>In seinem Referenzurteil E-3737/2015 vom 14. Dezember 2015 (E. 7.4) bestätigte das Bundesverwaltungsgericht seine in BVGE 2008/5 publizierte Praxis zur Frage der Zumutbarkeit des Wegweisungsvollzugs in die kurdi- schen Provinzen im Nordirak. Es hielt dabei fest, dass in den vier Provinzen der Autonomen Region Kurdistan nicht von einer Situation allgemeiner Ge- walt im Sinne von Art. 83 Abs. 4 AIG auszugehen sei, und auch keine kon- kreten Anhaltspunkte dafür vorlägen, dass sich dies in absehbarer Zeit massgeblich ändern werde. Diese Einschätzung hat nach wie vor Gültig- keit. Den begünstigenden individuellen Faktoren – insbesondere denjeni- gen eines tragfähigen familiären Beziehungsnetzes – ist angesichts der</w:t>
      </w:r>
    </w:p>
    <w:p>
      <w:r>
        <w:t>D-1869/2020 Seite 11 Belastung der behördlichen Infrastrukturen durch im Irak intern Vertriebene (Internally Displaced Persons [IDPs]) nach wie vor besonderes Gewicht beizumessen (vgl. Urteile des BVGer E-1664/2023 vom 1. Juni 2023, E. 9.3.1; D-3362/2022 vom 7. Februar 2023, E. 7.2; D-3678/2021 vom 30. Januar 2023 E. 8.4.1; E-962/2020 vom 8.Dezember 2022, E. 10.4.1; D- 5465/2021 vom 3. August 2022 E. 8.4.1). Obschon die Beschwerdeführenden unterschiedliche und sich ändernde Aussagen zur Identität des Beschwerdeführers und seiner Herkunft mach- ten, ist unbestritten, dass sie in der Vergangenheit bereits gemeinsam im Nordirak lebten. Es ist nicht davon auszugehen, sie würden bei einer Rück- kehr in den Nordirak in eine existenzielle Notlage geraten. Dort (insbeson- dere in der Provinz J._______) verfügen sie über ein tragfähiges, weitver- zweigtes familiäres Beziehungsnetz. Die Vorinstanz hält zutreffend fest, dass aus den Aussagen der Beschwerdeführenden hervorgeht, dass ihr verwandtschaftliches Umfeld über eine gute gesellschaftliche Stellung ver- fügt und sich gegenseitig unterstützt (vgl. A53/F56 ff.). Daher ist auch da- von auszugehen, dass ihnen nach ihrer Rückkehr eine ausreichende Un- terkunft zur Verfügung stehen wird, zumal sie auf ihrer Flucht vor dem so- genannten Islamischen Staat bereits dort aufgenommen worden waren und die Lage sich seit den damaligen innerstaatlichen Fluchtbewegungen und seit ihrer Ausreise verbessert hat. Dabei wird dem Beschwerdeführer zugutekommen, dass er bereits in verschiedenen Berufen – teilweise in gehobener Funktion – arbeitete sowie über Erfahrungen in landwirtschaft- lichen Tätigkeiten verfügt (vgl. A57/F130). Sind von einem Wegweisungsvollzug (auch) minderjährige Kinder betrof- fen, ist bei der Beurteilung der Zumutbarkeit desselben der Aspekt des Kin- deswohls zu berücksichtigen. Unter dem Aspekt des Kindeswohls im Sinne von Art. 3 Abs. 1 KRK sind im Rahmen der Prüfung der Zumutbarkeit des Vollzugs sämtliche Umstände einzubeziehen und zu würdigen, die im Hin- blick auf eine Wegweisung wesentlich erscheinen. In Bezug auf das Kin- deswohl können für ein Kind namentlich folgende Kriterien im Rahmen ei- ner gesamtheitlichen Beurteilung von Bedeutung sein: Alter, Reife, Abhän- gigkeiten, Art (Nähe, Intensität, Tragfähigkeit) seiner Beziehungen, Eigen- schaften seiner Bezugspersonen (insbesondere Unterstützungsbereit- schaft und -fähigkeit), Stand und Prognose bezüglich Entwicklung/Ausbil- dung, sowie der Grad der erfolgten Integration bei einem längeren Aufent- halt in der Schweiz. Gerade letzterer Aspekt, die Dauer des Aufenthaltes in der Schweiz, ist im Hinblick auf die Prüfung der Chancen und Hindernisse einer Reintegration beziehungsweise Integration im Heimatland bei einem</w:t>
      </w:r>
    </w:p>
    <w:p>
      <w:r>
        <w:t>D-1869/2020 Seite 12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2009/28 E. 9.3.2). Die vier gemeinsamen Kinder der Beschwerdeführenden befinden sich im zweiten bis zum neunten Lebensjahr. Sie dürften in erster Linie an ihren Eltern und Geschwistern orientiert sein, obwohl davon auszugehen ist, dass zumindest die beiden ältesten Kinder auch kollegiale oder freund- schaftliche Beziehungen zu anderen Kindern geknüpft haben. Da sie je- doch mit ihren Geschwistern und Eltern in den Nordirak zurückkehren wer- den, wo sie sich in einem weiterverzweigten familiären Netz wiederfinden, werden auch sie sich im Nordirak zurechtfinden können. Es lassen sich den Akten keine Anhaltspunkte für eine starke Verwurzelung in der Schweiz entnehmen. So kann nicht davon ausgegangen werden, die Kin- der hätten sich in der Schweiz bereits derart stark eingelebt, dass eine Reintegration im Heimatland verunmöglicht würde. Es ist ferner davon aus- zugehen, dass die Kinder aufgrund des Zusammenlebens mit den Eltern gut mit der heimatlichen Kultur und Sprache vertraut sind, weshalb ihnen die Reintegration im Nordirak ohne grössere Probleme gelingen dürfte. Schliesslich ist festzustellen, dass die Kinder der Beschwerdeführenden auch bei einer Rückkehr in den Nordirak durchaus Zukunftsperspektiven haben, zumal aufgrund der Akten davon auszugehen ist, dass sie dort von in guten wirtschaftlichen Verhältnissen lebenden Verwandten unterstützt werden. Somit ist davon auszugehen, dass das Kindeswohl durch die Rückkehr in den Nordirak nicht gefährdet ist. Aus gesundheitlichen Gründen kann nur dann auf die Unzumutbarkeit des Wegweisungsvollzugs im Sinne von Art. 83 Abs. 4 AIG geschlossen wer- den, wenn eine dringend notwendige medizinische Behandlung im Heimat oder Herkunftsland nicht zur Verfügung steht und die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medizinische Behandlung</w:t>
      </w:r>
    </w:p>
    <w:p>
      <w:r>
        <w:t>D-1869/2020 Seite 13 möglich ist (vgl. BVGE 2011/50 E. 8.3, 2009/52 E. 10.1, 2009/51 E. 5.5, 2009/28 E. 9.3.1, 2009/2 E. 9.3.2). Das Bundesverwaltungsgericht geht in seiner Rechtsprechung davon aus, dass im Nordirak die medizinische Grundversorgung sichergestellt ist (vgl. hierzu u. a. die Urteile des BVGer D-1927/2019 vom 23. Mai 2019 E. 8.4.3, D-2088/2018 vom 30. April 2018 E. 6.2, D-233/2017 vom 9. März 2017 E. 10.8‒10.8.2). Die durch einen Unfall in ihrer Schulzeit verursachte Hüftverletzung von B._______ ist keine derart schwerwiegende Beeinträchtigung, dass ihr eine zumutbare Lebensführung im Nordirak unmöglich wäre oder von ihr deswegen allen- falls benötigte medizinische Versorgung dort nicht zur Verfügung stünde, zumal die Vorinstanz richtig festhält, dass ihr familiäres Umfeld sie dort un- terstützen kann, falls sie bei bestimmten Verrichtungen eingeschränkt sein sollte. Nach dem Gesagten erweist sich der Vollzug der Wegweisung auch als zumutbar.</w:t>
      </w:r>
    </w:p>
    <w:p>
      <w:r>
        <w:rPr>
          <w:b/>
        </w:rPr>
        <w:t>E. 7.5</w:t>
      </w:r>
    </w:p>
    <w:p>
      <w:r>
        <w:t>B._______ verfügt über die irakische Staatsangehörigkeit und ihr Ehegatte sagte aus, dass er diese aufgrund seiner Heirat mit ihr ebenfalls beantragen könne. Die Vorinstanz wies in ihrer angefochtenen Verfügung zutreffend darauf hin, dass A._______ als Ehegatte einer irakischen Staatsangehörigen ein Aufenthaltsrecht im Irak erlangen kann respektive einen Anspruch darauf hat (vgl. A57, F118). Die Wohnsitznahme im Nordirak war dem Beschwerdeführer schliesslich mitsamt seiner Familie auch in der Vergangenheit möglich. Der achtjährige gemeinsame Sohn C._______, der gemäss den vorliegenden Akten als einziger ihrer Kinder nicht als irakischer Staatsangehöriger registriert ist, kann nach den Aussagen des Vaters ebenfalls bei den Behörden registriert werden (vgl. A57, F128). Schliesslich obliegt es den Beschwerdeführenden, sich bei der zuständigen Vertretung des Heimat- respektive Herkunftsstaates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w:t>
      </w:r>
    </w:p>
    <w:p>
      <w:r>
        <w:t>D-1869/2020 Seite 14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den Beschwerde- führenden aufzuerlegen (Art. 63 Abs. 1 VwVG) (Art. 1–3 des Reglements vom 21. Februar 2008 über die Kosten und Entschädigungen vor dem Bun- desverwaltungsgericht [VGKE, SR 173.320.2]). Da die Beschwerde nicht zum Vorneherein aussichtslos war und die Beschwerdeführenden nicht über ausreichende Mittel verfügen, ist ihr Antrag auf unentgeltliche Rechts- pflege gutzuheissen und von der Erhebung von Verfahrenskosten abzuse- hen.</w:t>
      </w:r>
    </w:p>
    <w:p>
      <w:r>
        <w:t>(Dispositiv nächste Seite)</w:t>
      </w:r>
    </w:p>
    <w:p>
      <w:r>
        <w:t>D-1869/2020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