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D-1866/2022 vom 28. April 2022</w:t>
      </w:r>
    </w:p>
    <w:p>
      <w:r>
        <w:t>Bundesverwaltungsgericht, 2022-04-28, DE</w:t>
      </w:r>
    </w:p>
    <w:p>
      <w:r>
        <w:rPr>
          <w:b/>
        </w:rPr>
        <w:t xml:space="preserve">Quelle: </w:t>
      </w:r>
      <w:r>
        <w:t>https://mcp.opencaselaw.ch/entscheid/bvger_D-1866_2022</w:t>
      </w:r>
    </w:p>
    <w:p>
      <w:r>
        <w:t>FR: TAF D-1866/2022 du 28 avril 2022</w:t>
      </w:r>
    </w:p>
    <w:p>
      <w:r>
        <w:t>IT: TAF D-1866/2022 del 28 aprile 2022</w:t>
      </w:r>
    </w:p>
    <w:p>
      <w:pPr>
        <w:pStyle w:val="Heading2"/>
      </w:pPr>
      <w:r>
        <w:t>Regeste</w:t>
      </w:r>
    </w:p>
    <w:p>
      <w:r>
        <w:t>Nichteintreten auf Asylgesuch und Wegweisung (Dublin-Verfahren)</w:t>
      </w:r>
    </w:p>
    <w:p>
      <w:pPr>
        <w:pStyle w:val="Heading2"/>
      </w:pPr>
      <w:r>
        <w:t>Erwägungen</w:t>
      </w:r>
    </w:p>
    <w:p>
      <w:r>
        <w:rPr>
          <w:b/>
        </w:rPr>
        <w:t>E. 19</w:t>
      </w:r>
    </w:p>
    <w:p>
      <w:r>
        <w:t>April 2022 E. 10.2 m.w.H.), dass jeder Mitgliedstaat abweichend von Art. 3 Abs. 1 Dublin-III-VO be- 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 mung "aus humanitären Gründen" auch dann behandeln kann, wenn dafür gemäss Dublin-III-VO ein anderer Staat zuständig wäre, dass der Beschwerdeführer mit seinen Vorbringen, die Lebensumstände in Italien seien menschenunwürdig, er würde dort keinen Zugang zu medizi- nischer Versorgung (diese sei mit langen Wartezeiten und hohen Gesund- heitskosten verbunden), Nahrungsmitteln oder Unterkunft erhalten, er habe auf der Strasse leben müssen, er würde wohl keinen Zugang zu ei- nem fairen Asylverfahren erhalten, in Notunterkünften sei keine genügende medizinische und psychologische Betreuung verfügbar, wobei die sanitä- ren Zustände sehr schlecht seien und als Dublin-Rückkehrer bestehe die Gefahr des Verlusts eines Unterkunftsplatzes, implizit die Anwendung von Art. 17 Abs. 1 Dublin-III-VO respektive Art. 29a Abs. 3 AsylV 1 fordert, dass Italien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w:t>
      </w:r>
    </w:p>
    <w:p>
      <w:r>
        <w:t>D-1866/2022 Seite 6 (SR 0.142.301) ist und seinen diesbezüglichen völkerrechtlichen Verpflich- tungen nachkommt, dass den Akten auch keine Gründe für die Annahme zu entnehmen sind, Italien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kein konkretes und ernsthaftes Risiko darge- tan hat, die italienischen Behörden würden sich weigern ihn wieder aufzu- nehmen und seinen Antrag auf internationalen Schutz unter Einhaltung der Regeln der erwähnten Richtlinien zu prüfen, dass er im Dublin-Gespräch zwar angab, unter Knie- und Leberschmerzen zu leiden, er jedoch lediglich wegen Knieschmerzen bei der Pflege vorge- sprochen hat und auch sonst kein Arztbericht vorliegt, dass er auf Beschwerdeebene zusätzlich von psychischen Problemen be- richtete, dass Italien über eine ausreichende medizinische Infrastruktur verfügt, um die physischen sowie allfälligen psychologischen Beschwerden des Be- schwerdeführers angemessen zu behandeln, wobei keine Hinweise vorlie- gen, wonach Italien dem Beschwerdeführer eine adäquate medizinische Behandlung verweigern würde (vgl. Urteil des BVGer E-1276/2022 vom 25. März 2022), dass Mitgliedstaaten jedenfalls die erforderliche medizinische Versorgung, welche zumindest die Notversorgung und die unbedingt erforderliche Be- handlung von Krankheiten und psychischen Störungen umfasst, den An- tragsstellenden zugänglich machen müssen (vgl. 19 Abs. 1 und 2 Aufnah- merichtlinie),</w:t>
      </w:r>
    </w:p>
    <w:p>
      <w:r>
        <w:t>D-1866/2022 Seite 7 dass auch der Einwand des Beschwerdeführers, seine Knieschmerzen hätten sich aufgrund eines Fussmarsches von 32 km in Italien verschlim- mert, nicht verfängt, zumal es sich dabei offensichtlich nicht um einen me- dizinischen Notfall handelt, dass bezüglich seiner Vorbringen, die Familie von G.M. sei gegen ihre Be- ziehung und er fürchte sich vor ihrem Cousin, der in Italien lebe und bereits im Gefängnis gewesen sei, sowie seine Schlepper bedrohten ihn, festzu- halten ist, dass Italien ein Rechtsstaat mit einem funktionierenden Jus- tizsystem ist und der Beschwerdeführer bei der zuständigen Stelle Anzeige erstatten könnte, sollte er sich bedroht oder rechtswidrig behandelt fühlen, dass der Beschwerdeführer keine konkreten Hinweise für die Annahme dargetan hat, Italien würde ihm die minimalen Lebensbedingungen vorent- halten, und er nötigenfalls die ihm zustehenden Aufnahmebedingungen ebenfalls auf dem Rechtsweg einfordern könnte (vgl. Art. 26 Aufnahme- 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so- wie auf Verzicht eines Kostenvorschusses als gegenstandslos erweist, dass das mit der Beschwerde gestellte Gesuch um Gewährung der unent- geltlichen Prozessführung abzuweisen ist, da die Begehren – wie sich aus</w:t>
      </w:r>
    </w:p>
    <w:p>
      <w:r>
        <w:t>D-1866/2022 Seite 8 den vorstehenden Erwägungen ergibt – als aussichtlos zu bezeichnen wa- 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D-1866/2022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