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D-1863/2009 vom 3. Februar 2010</w:t>
      </w:r>
    </w:p>
    <w:p>
      <w:r>
        <w:t>Bundesverwaltungsgericht, 2010-02-03, DE</w:t>
      </w:r>
    </w:p>
    <w:p>
      <w:r>
        <w:rPr>
          <w:b/>
        </w:rPr>
        <w:t xml:space="preserve">Quelle: </w:t>
      </w:r>
      <w:r>
        <w:t>https://mcp.opencaselaw.ch/entscheid/bvger_D-1863_2009</w:t>
      </w:r>
    </w:p>
    <w:p>
      <w:r>
        <w:t>FR: TAF D-1863/2009 du 3 février 2010</w:t>
      </w:r>
    </w:p>
    <w:p>
      <w:r>
        <w:t>IT: TAF D-1863/2009 del 3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23. März 2009 sind nicht geeignet, eine Änderung der vorinstanzlichen Verfügung zu bewirken. Der Argumentation des BFM werden keine stichhaltigen und substanziierten Gründe entgegengesetzt. Eine diesbezügliche Auseinandersetzung unterbleibt zwar nicht grundsätzlich, doch vermögen die Ausführungen des Beschwerdeführers die substanziiert vorgebrachten und einwandfrei nachvollziehbaren Erwägungen des BFM nicht umzustossen. Für das Bundesverwaltungsgericht besteht nach Überprüfung der Akten keine Veranlassung, die Erwägungen des BFM zu beanstanden. Um Wiederholungen zu vermeiden, kann daher auf die diesbezüglich zutreffenden Ausführungen in der angefochtenen Verfügung verwiesen werden (vgl. Art. 4 VwVG i.V.m. Art. 6 AsylG und Art. 109 Abs. 3 BGG). Ausserdem wurde bereits in der Zwischenverfügung vom 31. März 2009 ausführlich dargelegt und zusammenfassend festgehalten, dass die Erwägungen der Vorinstanz zu bestätigen und durch die Ausführungen in der Beschwerdeschrift nicht zu entkräften sein dürften. In Übereinstimmung mit der Vorinstanz ist somit das Bestehen von Vorfluchtgründen zu verneinen.</w:t>
      </w:r>
    </w:p>
    <w:p>
      <w:r>
        <w:rPr>
          <w:b/>
        </w:rPr>
        <w:t>E. 5.2</w:t>
      </w:r>
    </w:p>
    <w:p>
      <w:r>
        <w:t>Soweit sich der Beschwerdeführer in seiner Rechtsmitteleingabe auf den Standpunkt stellt, er müsse bei einer Rückkehr in den Iran mit Reflexverfolgung rechnen, ist ihm entgegen zu halten, dass angesichts seiner unglaubhaften Vorfluchtgründe kein Anlass besteht, die geltend gemachte Reflexverfolgung zu glauben, zumal seinen Angaben zufolge, sein Vater, seine Stiefmutter sowie seine drei verheirateten Schwestern mit ihren Familien noch immer in E._______ leben. Gemäss den Akten wurden weder seine Stiefmutter noch seine Schwestern oder deren Familien in E._______ in irgendeiner Form behelligt. Da der Beschwerdeführer ausserdem keinen Antrag auf Beizug der Akten seiner Brüder gestellt hat, erübrigen sich an dieser Stelle weitere diesbezügliche Erörterungen.</w:t>
      </w:r>
    </w:p>
    <w:p>
      <w:r>
        <w:rPr>
          <w:b/>
        </w:rPr>
        <w:t>E. 5.3</w:t>
      </w:r>
    </w:p>
    <w:p>
      <w:r>
        <w:t>Bezüglich des dargelegten exilpolitischen Engagements des Beschwerdeführers gelangt das Bundesverwaltungsgericht zum Schluss, dass insgesamt auch diesbezüglich keine subjektiven Nachfluchtgründe vorliegen. Für die Einschätzung einer Verfolgungsgefahr sind Positionen (z.B. Vorsitzende/r einer Exilgruppe), Form und Einfluss von Aktionen (z.B. gewaltsamer Protest) massgeblich (vgl. allgemein zum Grad der Exponierung bei exilpolitischen Tätigkeiten auch das zur Publikation vorgesehene Urteil BVGE D-3357/2006 vom 9. Juli 2009 E. 7.4.3, D-5231/2006 vom 18. September 2009 E.5.2, E-4390/2006 vom 27. August 2009 E.3.4.3, D-5907/2006 vom 16. Juli 2009 E.4.5.3, D-5517/2006 vom 17. März 2009 E. 5.3 und D-4932/2006 vom 10. Dezember 2007 E. 2.4.2). Dabei ist nicht primär das Hervortreten im Sinne einer optischen Erkennbarkeit und Individualisierbarkeit, sondern eine derartige Exponierung in der Öffentlichkeit massgebend, die den Eindruck erweckt, dass der Asylsuchende zu einer Gefahr für den Bestand des iranischen Systems wird. Dass die iranischen Sicherheitsbehörden zwischen tatsächlich politisch engagierten Regimekritikern und Exilaktivisten, die mit ihren Aktionen in erster Linie die Chancen auf ein Aufenthaltsrecht zu erhöhen versuchen, zu unterscheiden vermögen, darf auch unter Berücksichtigung der aktuellen Lage im Iran vorausgesetzt werden (siehe insbesondere für die Lage im Iran das zur Publikation vorgesehene Urteil BVGE D-3357/2006 vom 9. Juli 2009 E.7.4.3, D-5231/2006 vom 18. September 2009 E.5.2 und E-6426/2006 vom 5. Januar 2009. Die vom Beschwerdeführer zitierten Urteile des Bundesverwaltungsgerichts ergingen vor dem vorgenannten Grundsatzurteil und sind deshalb in casu nicht mehr massgeblich. Bei dieser Sachlage liegt beim Beschwerdeführer auch kein subjektiver Nachfluchtgrund im Sinne von Art. 54 AsylG vor.</w:t>
      </w:r>
    </w:p>
    <w:p>
      <w:r>
        <w:rPr>
          <w:b/>
        </w:rPr>
        <w:t>E. 5.4</w:t>
      </w:r>
    </w:p>
    <w:p>
      <w:r>
        <w:t>Zusammenfassend ist festzuhalten, dass den Vorbringen des Beschwerdeführers, er sei im Zeitpunkt seiner Ausreise in seiner Heimat in asylrechtlich relevantem Ausmass verfolgt worden und habe auch zukünftig mit Verfolgung zu rechnen, nicht geglaubt werden kann. Bei dieser Sachlage erübrigt es sich, auf die weiteren Vorbringen und auf die als Beweismittel eingereichten Dokumente im Einzelnen einzugehen, da sie an der Beurteilung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ARK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Bezüglich des Irans kann zum jetzigen Zeitpunkt nicht von Krieg, Bürgerkrieg oder von einer Situation allgemeiner Gewalt, welche für den Beschwerdeführer bei einer Rückkehr dorthin eine konkrete Gefährdung darstellen würde, gesprochen werden - dies ungeachtet der umstrittenen Präsidentschaftswahl vom Juni 2009, deren Resultat und Folgen insbesondere für die iranische Innenpolitik noch nicht genauer abgeschätzt werden können. Zwar kann nicht ausgeschlossen werden, dass sich der Trend zu vermehrter Kontrolle und Überwachung der Zivilbevölkerung fortsetzen wird, eine Situation flächendeckender allgemeiner Gewalt liegt aber nicht vor. Sodann sind auch keine anderen, individuellen Gründe ersichtlich, welche den Vollzug der Wegweisung in den Iran als unzumutbar erscheinen lassen könnten. Der Beschwerdeführer ist noch jung und fand vor seiner Ausreise im Supermarkt seines Vaters in E._______ als Verkäufer sein Auskommen. Der Beschwerdeführer verfügt somit über entsprechende Berufserfahrung sowie über ein Beziehungsnetz in Iran, wo seinen eigenen Angaben zufolge sein Vater, sein Bruder F._______ sowie seine drei verheirateten Schwestern in E._______ leben. Es sprechen auch gemäss den Akten keine medizinischen Gründe gegen den Vollzug der Wegweisung.</w:t>
      </w:r>
    </w:p>
    <w:p>
      <w:r>
        <w:rPr>
          <w:b/>
        </w:rPr>
        <w:t>E. 7.6</w:t>
      </w:r>
    </w:p>
    <w:p>
      <w:r>
        <w:t>Angesichts der gesamten Umstände kann der Vollzug der Wegweisung mithin auch als zumutbar bezeichnet werden.</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am 15. April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