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D-1862/2014 vom 29. April 2014</w:t>
      </w:r>
    </w:p>
    <w:p>
      <w:r>
        <w:t>Bundesverwaltungsgericht, 2014-04-29, DE</w:t>
      </w:r>
    </w:p>
    <w:p>
      <w:r>
        <w:rPr>
          <w:b/>
        </w:rPr>
        <w:t xml:space="preserve">Quelle: </w:t>
      </w:r>
      <w:r>
        <w:t>https://mcp.opencaselaw.ch/entscheid/bvger_D-1862_2014</w:t>
      </w:r>
    </w:p>
    <w:p>
      <w:r>
        <w:t>FR: TAF D-1862/2014 du 29 avril 2014</w:t>
      </w:r>
    </w:p>
    <w:p>
      <w:r>
        <w:t>IT: TAF D-1862/2014 del 29 aprile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oder das AsylG nichts anderes bestimmen (Art. 37 VGG; Art. 6 und 105 AsylG).</w:t>
      </w:r>
    </w:p>
    <w:p>
      <w:r>
        <w:rPr>
          <w:b/>
        </w:rPr>
        <w:t>E. 1.3</w:t>
      </w:r>
    </w:p>
    <w:p>
      <w:r>
        <w:t>Die Beschwerdeführenden sind legitimiert (Art. 48 Abs. 1 VwVG), und sie haben ihre Beschwerde gemäss Aktenlage fristgerecht bei der schweizerischen Botschaft in Bogotá eingereicht (Art. 108 Abs. 1 AsylG i.V.m. Art. 21 Abs. 1 VwVG). Die Beschwerde ist auch formgerecht (Art. 52 Abs. 1 VwVG). Auf die Beschwerde ist demnach einzutreten.</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3</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dies ist vorliegend der Fall.</w:t>
      </w:r>
    </w:p>
    <w:p>
      <w:r>
        <w:rPr>
          <w:b/>
        </w:rPr>
        <w:t>E. 4.1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4.2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Aus den nachfolgenden Gründen ist die Einschätzung des BFM in der angefochtenen Verfügung, wonach sich aus den wesentlichen Vorbringen des Beschwerdeführers keine aktuelle asylrelevante Gefährdungssitua­tion des Beschwerdeführers und seiner Familienangehörigen ergebe, zu bestätigen.</w:t>
      </w:r>
    </w:p>
    <w:p>
      <w:r>
        <w:rPr>
          <w:b/>
        </w:rPr>
        <w:t>E. 4.4</w:t>
      </w:r>
    </w:p>
    <w:p>
      <w:r>
        <w:t>Mit der Vorinstanz ist festzustellen, dass sich die Beschwerdeführen­den in einem anderen Teil des Landes in Schutz bringen können. Die Be­schwerdeführenden haben ihren Aussagen zufolge von der Organisation J._______ Unterstützung erhalten. Diesbezüglich ist auf die zutref­fende Ausführungen der Vorinstanz zu verweisen, wonach aus den einge­reichten Beweismitteln hervorgeht, dass sie von den Behörden Schutz er­halten haben. So hat die Polizei gemäss dem Schreiben vom 7. April 2010 an ihrem Wohnort Kontrollen zu ihrer Sicherheit durchgeführt. Zu­dem haben die Beschwerdeführenden von den Behörden Anweisungen über Sicherheitsvorkehrungen erhalten, welche sie ebenfalls als Beweismittel eingereicht haben. Somit kann in Übereinstimmung mit der Vorinstanz von der Schutzfähigkeit und dem Schutzwillen der Behörden ausgegangen werden. Bei den Beschwerdeführenden handelt es sich zu­dem nicht um landesweit bekannte Personen, weshalb nicht davon auszugehen ist, sie könnten von den Verfolgern leicht an einem beliebi­gen Ort in Kolumbien ausfindig gemacht werden. Für sie besteht vielmehr die Möglichkeit einer innerstaatlichen Fluchtalternative. Sie können sich in einer andern Region in Kolumbien aufhalten, wo sie sich den Übergriffen ihrer Verfolger entziehen können. Das BFM hält zudem richtigerweise fest, dass zahlreiche Dokumente, welche die geltend gemachte Verfol­gung belegen sollen, in den Jahren 2010 und 2011 ausgestellt wurden, also unmittelbar bevor die Beschwerdeführenden ihre Asylgesuche bei der Botschaft eingereicht haben. Das Gericht schliesst sich der diesbezüglichen Folgerung der Vorinstanz an, dass aufgrund dieser Tatsache nicht davon ausgegangen werden kann, dass die Beschwerdeführenden seit Jahren einer hohen Gefährdung ausgesetzt waren.</w:t>
      </w:r>
    </w:p>
    <w:p>
      <w:r>
        <w:rPr>
          <w:b/>
        </w:rPr>
        <w:t>E. 4.5</w:t>
      </w:r>
    </w:p>
    <w:p>
      <w:r>
        <w:t>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Im Übrigen ist auch eine Beziehungsnähe der Beschwerdeführenden zur Schweiz zu verneinen (alt Art. 52 Abs. 2 AsylG). Das BFM hat den Beschwerdeführenden zu Recht die Einreise in die Schweiz nicht bewilligt und die Asylgesuche abgelehnt. 5.Aus diesen Erwägungen ergibt sich, dass die angefochtene Verfügung Bundesrecht nicht verletzt und den rechtserheblichen Sachverhalt richtig und vollständig feststellt (Art. 106 Abs. 1 AsylG). Die Beschwerde ist da­her abzuweisen. 6.Bei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