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D-1862/2012 vom 18. Juni 2012</w:t>
      </w:r>
    </w:p>
    <w:p>
      <w:r>
        <w:t>Bundesverwaltungsgericht, 2012-06-18, DE</w:t>
      </w:r>
    </w:p>
    <w:p>
      <w:r>
        <w:rPr>
          <w:b/>
        </w:rPr>
        <w:t xml:space="preserve">Quelle: </w:t>
      </w:r>
      <w:r>
        <w:t>https://mcp.opencaselaw.ch/entscheid/bvger_D-1862_2012</w:t>
      </w:r>
    </w:p>
    <w:p>
      <w:r>
        <w:t>FR: TAF D-1862/2012 du 18 juin 2012</w:t>
      </w:r>
    </w:p>
    <w:p>
      <w:r>
        <w:t>IT: TAF D-1862/2012 del 18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darauf hinzuweisen, dass die Beschwerdeführenden den Wortlaut der Protokolle mit ihrer Unterschrift bestätigt haben und sich deshalb ihre Aussagen entgegenhalten lassen müssen, zumal sie die übersetzenden Personen bei den Befragungen gut verstanden haben wollen (vgl. A 8/49 S. 13, A 9/30 S. 12, A 18/15 S. 4, A 19/10 S. 2).</w:t>
      </w:r>
    </w:p>
    <w:p>
      <w:r>
        <w:rPr>
          <w:b/>
        </w:rPr>
        <w:t>E. 5.2</w:t>
      </w:r>
    </w:p>
    <w:p>
      <w:r>
        <w:t>Nach Prüfung der Akten durch das Gericht ist - in Übereinstimmung mit der Vorinstanz - festzustellen, dass die Asylvorbringen der Beschwerdeführenden den Anforderungen an die Glaubhaftigkeit gemäss Art. 7 AsylG nicht standzuhalten vermögen beziehungsweise nicht asylrelevant sind, weshalb diesbezüglich vorab auf die ausführlichen und zutreffenden vorinstanzlichen Erwägungen zu verweisen ist (vgl. Ziffer I, Bst. B. vorstehend). Die Vorbringen in der Rechtsmittelschrift und in den übrigen Eingaben der Beschwerdeführenden sind nicht geeignet, eine Änderung der vorinstanzlichen Verfügung zu bewirken. Der Argumentation des BFM werden keine stichhaltigen und substanziierten Gründe entgegengesetzt. Insbesondere vermag die Behauptung in der Beschwerde, wonach die Beschwerdeführenden bei der Ausreise aus Sri Lanka am Flughafen von Colombo nicht ordentlich kontrolliert worden seien, da die Kontrollbeamten durch den Schlepper bestochen worden seien, nicht zu überzeugen, zumal sie durch nichts belegt wird. Auch die eingereichten Bestätigungsschreiben der F._______ vom 31. März 2012, der J._______ vom 23. April 2012 sowie des Parlamentsmitgliedes I._______ vom 25. Mai 2012 vermögen eine asylrelevante Verfolgung der Beschwerdeführenden nicht glaubhaft zu machen, da keine Gewähr für die Echtheit dieser Schreiben besteht. Es ist gerichtsnotorisch, dass viele Asylbewerber unter Inanspruchnahme unlauterer Machenschaften behördliche und andere Dokumente zur Stützung ihrer Asylvorträge beibringen. Aus diesem Grund kann auch darauf verzichtet werden, die von den Beschwerdeführenden in ihrer Eingabe vom 30. April 2012 in Aussicht gestellte Einreichung von Informationen der F._______ abzuwarten (antizipierte Beweiswürdigung: vgl. BVGE 2008/24 E. 7.2 S. 357, André Moser/Michael Beusch/Lorenz Kneubühler, Prozessieren vor dem Bundesverwaltungsgericht, Basel 2008, S. 165 Rz. 3.144).</w:t>
      </w:r>
    </w:p>
    <w:p>
      <w:r>
        <w:rPr>
          <w:b/>
        </w:rPr>
        <w:t>E. 5.3</w:t>
      </w:r>
    </w:p>
    <w:p>
      <w:r>
        <w:t>In der Beschwerde wird geltend gemacht, der Beschwerdeführer sei auch im schweizerischen Exil als Journalist tätig. Er führe einen Blog und verfasse regelmässig Texte, bei denen es auch um die Politik in Sri Lanka gehe.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(BVGE 2009/28 E. 7.1 m.w.H.). Massgeblich ist, ob vorliegend die sri-lankischen Behörden das Verhalten des Beschwerdeführers als staatsfeindlich einstufen und dieser deswegen bei der Rückkehr in den Heimatstaat eine Verfolgung von Art. 3 AsylG befürchten muss. Es bleiben damit die Anforderungen an den Nachweis einer begründeten Furcht massgeblich (Art. 3 und Art. 7 AsylG). Da der Beschwerdeführer nicht glaubhaft zu machen vermochte, dass er in seinem Heimatland nach seiner Freilassung im Dezember 2005 aufgrund seiner journalistischen Tätigkeit verfolgt wurde, ist auszuschliessen, er habe vor der Ausreise im Visier der sri-lankischen Behörden gestanden. Zudem ist mit überwiegender Wahrscheinlichkeit nicht davon auszugehen, dass die heimatlichen Behörden von seinen Aktivitäten in der Schweiz Kenntnis genommen haben, da die von ihm geltend gemachte exilpolitische Tätigkeit (Führung eines tamilischen Blogs, Schreiben von Einträgen in diesem Blog) keinesfalls das Ausmass eines Engagements erreicht haben dürfte, welches das Interesse der Behörden in Sri Lanka wecken könnte. Gegen eine Kenntnisnahme der sri-lankischen Behörden spricht auch der Umstand, dass sich der Beschwerdeführer gemäss den Akten in Sri Lanka nicht politisch betätigt hat. Der Beschwerdeführer verfügt somit nicht über ein ausreichendes politisches Profil, welches ihn bei einer Rückkehr in den Heimatstaat als gefährdet erscheinen lässt. Sodann steht auch nicht fest, dass er von den heimatlichen Behörden überhaupt identifiziert wurde.</w:t>
      </w:r>
    </w:p>
    <w:p>
      <w:r>
        <w:rPr>
          <w:b/>
        </w:rPr>
        <w:t>E. 5.4</w:t>
      </w:r>
    </w:p>
    <w:p>
      <w:r>
        <w:t>Zusammenfassend ist festzustellen, dass es den Beschwerdeführenden nicht gelungen ist, nachzuweisen oder zumindest glaubhaft zu machen, dass sie in der Heimat ernsthafte Nachteile erlitten haben oder solche bei der Ausreise zu befürchten hatten oder im Falle der Rückkehr nach Sri Lanka befürchten müssten. Die Rüge in der Rechtsmittelschrift, wonach der Sachverhalt ungenügend festgestellt worden sei, erweist sich als unbegründet. Es besteht deshalb kein Anlass, die Sache zur Neubeurteilung an die Vorinstanz zurückzuweisen. Nach dem Gesagten erübrigt es sich, auf die Ausführungen und Einwände in der Beschwerde und auf die übrigen Eingaben sowie die eingereichten Beweismittel im Einzelnen weiter einzugehen, da sie am Ergebnis nichts ändern. Das BFM hat die Asylgesuche der Beschwerdeführenden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Sri Lanka ist demnach unter dem Aspekt von Art. 5 AsylG rechtmässig. Sodann ergeben sich weder aus den Aussagen der Beschwerdeführenden noch aus den Akten Anhaltspunkte dafür, dass sie für den Fall einer Ausschaffung nach Sri Lanka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Dies ist ihnen nach den vorstehenden Erwägungen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In BVGE 2011/24 vom 27. Oktober 2011 hat das Bundesverwaltungsgericht angesichts der veränderten Situation nach dem Ende des sri-lankischen Bürgerkriegs am 19. Mai 2009 eine neue Lagebeurteilung vorgenommen. In Bezug auf die Frage der Zumutbarkeit des Wegweisungsvollzugs hat es in diesem Entscheid unter anderem festgehalten, dass für Personen, die aus dem Grossraum Colombo stammen und dorthin zurückkehren können, der Wegweisungsvollzug grundsätzlich zumutbar ist (vgl. a.a.O. E. 13.3).</w:t>
      </w:r>
    </w:p>
    <w:p>
      <w:r>
        <w:rPr>
          <w:b/>
        </w:rPr>
        <w:t>E. 7.3.3</w:t>
      </w:r>
    </w:p>
    <w:p>
      <w:r>
        <w:t>Gemäss den Akten haben die Beschwerdeführenden ab dem Jahre 2001 bis zu ihrer Ausreise im Januar 2009 ständig in Colombo gelebt, wo sie auch angemeldet waren. In Colombo wohnen nach wie vor die Eltern der Beschwerdeführerin, bei denen die Beschwerdeführenden vor ihrer Ausreise aus Sri Lanka gelebt haben. In Erwägung zu ziehen ist ausserdem, dass die - gemäss den Akten - gesunden Beschwerdeführenden nach eigenen Aussagen über eine gute Ausbildung sowie jahrelange Berufserfahrung im Zeitungswesen verfügen. Es erweist sich somit, dass die Beschwerdeführenden die vom Bundesverwaltungsgericht in der erneuerten Lagebeurteilung bezüglich der Zumutbarkeit des Wegweisungsvollzugs nach Sri Lanka formulierten Kriterien erfüllen. Sie werden nach der Rückkehr in ihr Heimatland sowohl auf die Unterstützung ihrer in Colombo lebenden Familie zählen können und bei ihren Angehörigen eine Unterkunftsmöglichkeit vorfinden, als auch in Zukunft in der Lage sein, sich dank ihrer beruflichen Kenntnisse wieder wirtschaftlich zu integrieren. Den Beschwerdeführenden ist es im Übrigen unbenommen, in ihre Heimat im Norden Sri Lankas zurückzukehren. Es bestehen auch sonst keine Anhaltspunkte, die darauf schliessen liessen, sie seien bei einer Rückkehr nach Sri Lanka einer konkreten Gefährdung im Sinne von Art. 83 Abs. 4 AuG ausgesetzt, weswegen der Vollzug der Wegweisung als zumutbar zu bezeichnen ist.</w:t>
      </w:r>
    </w:p>
    <w:p>
      <w:r>
        <w:rPr>
          <w:b/>
        </w:rPr>
        <w:t>E. 7.4</w:t>
      </w:r>
    </w:p>
    <w:p>
      <w:r>
        <w:t>Schliesslich ist festzustellen, dass der Vollzug der Wegweisung mangels aktenkundiger objektiver Hindernisse auch möglich im Sinne von Art. 83 Abs. 2 AuG ist.</w:t>
      </w:r>
    </w:p>
    <w:p>
      <w:r>
        <w:rPr>
          <w:b/>
        </w:rPr>
        <w:t>E. 7.5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Aufgrund vorstehender Erwägungen erweist sich die Beschwerde als aussichtslos, weshalb das mit Eingabe vom 30. April 2012 sinngemäss gestellte Gesuch der Beschwerdeführenden, es sei wiedererwägungsweise die unentgeltliche Rechtspflege zu gewähren, abzuweisen ist.</w:t>
      </w:r>
    </w:p>
    <w:p>
      <w:r>
        <w:rPr>
          <w:b/>
        </w:rPr>
        <w:t>E. 9.2</w:t>
      </w:r>
    </w:p>
    <w:p>
      <w:r>
        <w:t>Bei diesem Ausgang des Verfahrens sind die Kosten den Beschwerdeführenden aufzuerlegen (Art. 63 Abs. 1 und 5 VwVG), auf insgesamt Fr. 600.-- festzusetzen (Art. 1-3 des Reglements vom 21. Februar 2008 über die Kosten und Entschädigungen vor dem Bundesverwaltungsgericht [VGKE, SR 173.320.2]) und mit dem am 8. Mai 2012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