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D-1860/2021 vom 9. Juli 2021</w:t>
      </w:r>
    </w:p>
    <w:p>
      <w:r>
        <w:t>Bundesverwaltungsgericht, 2021-07-09, DE</w:t>
      </w:r>
    </w:p>
    <w:p>
      <w:r>
        <w:rPr>
          <w:b/>
        </w:rPr>
        <w:t xml:space="preserve">Quelle: </w:t>
      </w:r>
      <w:r>
        <w:t>https://mcp.opencaselaw.ch/entscheid/bvger_D-1860_2021</w:t>
      </w:r>
    </w:p>
    <w:p>
      <w:r>
        <w:t>FR: TAF D-1860/2021 du 9 juillet 2021</w:t>
      </w:r>
    </w:p>
    <w:p>
      <w:r>
        <w:t>IT: TAF D-1860/2021 del 9 luglio 2021</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und so auch vorliegend - endgültig über Beschwerden gegen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Beschwerdeführung legitimiert (Art. 48 Abs. 1 VwVG). Auf die frist- und formgerecht eingereichte Beschwerde (Art. 105 und 108 Abs. 2 AsylG,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Die Beschwerdeführerin beantragt unter anderem, die angefochtene Verfügung sei zu kassieren, weil es das SEM unterlassen habe, ihren psychischen Zustand abzuklären. Diese formelle Rüge ist vorab zu behandeln.</w:t>
      </w:r>
    </w:p>
    <w:p>
      <w:r>
        <w:rPr>
          <w:b/>
        </w:rPr>
        <w:t>E. 4.1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auch Art. 30-33 VwVG). Der Untersuchungsgrundsatz findet seine Grenze an der Mitwirkungspflicht der Asylsuchenden (Art. 8 AsylG; Art. 13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den Entscheid wesentlichen Sachumstände berücksichtigt wurden (vgl. dazu BVGE 2016/2 E. 4.3).</w:t>
      </w:r>
    </w:p>
    <w:p>
      <w:r>
        <w:rPr>
          <w:b/>
        </w:rPr>
        <w:t>E. 4.2</w:t>
      </w:r>
    </w:p>
    <w:p>
      <w:r>
        <w:t>Die Beschwerdeführerin machte erstmals in der Anhörung vom 27. August 2020 geltend, sie leide unter Stress (vgl. Vorhaben 1071407, A20 F6 und F54 ff.). In der ergänzenden Anhörung vom 22. Januar 2021 erklärte sie auf Anfrage, es gehe ihr psychisch nach wie vor nicht gut, aber sie habe sich bisher nicht um eine Behandlung gekümmert (vgl. A37 F8 ff.). Es obliegt grundsätzlich der Beschwerdeführerin, allfällige konkrete, psychische Probleme mittels eines Arztberichtes nachzuweisen (vgl. Art. 8 Abs. 1 Bst. d AsylG), und dies wäre ihr auch zuzumuten gewesen, zumal sie offenbar einen geeigneten Therapeuten kannte (vgl. A37 F10) und seit Beginn des vorinstanzlichen Verfahrens rechtlich vertreten war. Bei dieser Sachlage hat das SEM zu Recht auf die Vornahme von zusätzlichen medizinischen Abklärungen verzichtet. Im Übrigen ist die Vorinstanz - trotz mangelhafter Substanziierung seitens der Beschwerdeführerin - in der angefochtenen Verfügung davon ausgegangen, die Beschwerdeführerin leide unter «psychologischem Stress», und hat erwogen, psychologische und psychiatrische Behandlungen stünden auch in der Türkei zur Verfügung. Die Beschwerdeführerin hat bezeichnenderweise auch auf Beschwerdeebene erneut nur in pauschaler Weise geltend gemacht, sie benötige aufgrund ihres psychischen Zustands eine psychotherapeutische Behandlung, ohne jedoch ihre angebliche psychische Erkrankung konkret zu benennen oder einen Arztbericht einzureichen. Der rechtserhebliche Sachverhalt ist daher - auch im heutigen Zeitpunkt - ohne weitere Abklärungen als spruchreif zu erachten. Der Kassationsantrag ist demnach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6.1</w:t>
      </w:r>
    </w:p>
    <w:p>
      <w:r>
        <w:t>Das SEM führte zur Begründung seines ablehnenden Asylentscheids im Wesentlichen aus, die Furcht der Beschwerdeführerin vor weiteren Gewaltakten durch ihren Ehemann und Ex-Ehemann sei nicht asylbeachtlich, da der türkische Staat diesbezüglich als schutzfähig und -willig zu erachten sei; dies gehe auch aus dem aktenkundigen Vorgehen der Polizei- und Strafbehörden im Fall der Beschwerdeführerin aus. Ferner sei die Beschwerdeführerin offensichtlich nicht in exponierter Funktion für die (...) und die (...) tätig gewesen, weshalb nicht davon auszugehen sei, dass sie aufgrund dieses Engagements mit einer Verfolgung rechnen müsste. Ihre familiäre Herkunft ändere nichts an dieser Einschätzung, zumal sie in diesem Zusammenhang jahrelang keine asylbeachtlichen Nachteile erlitten habe. Die geltend gemachten Schikanen anlässlich ihrer Teilnahme an Demonstrationen, die Hausdurchsuchung sowie die Drohungen durch Drittpersonen stellten infolge zu geringer Verfolgungsintensität keine ernsthaften Nachteile im Sinne von Art. 3 AsylG dar. Auch die Nachteile, denen die Beschwerdeführerin aufgrund ihrer kurdischen Ethnie und alevitischen Glaubenszugehörigkeit angeblich ausgesetzt gewesen sei, stellten keine asylrelevante Verfolgung dar, da diese Nachteile auf die am Herkunftsort herrschende, allgemeine Situation zurückzuführen seien und überdies ein menschenwürdiges Leben nicht in unzumutbarer Weise erschwerten. Insgesamt würden die Asylvorbringen der Beschwerdeführerin die Anforderungen an die Flüchtlingseigenschaft nicht erfüllen. Die Asylakten ihrer Angehörigen (Ex-Mann, Cousins und Cousinen, Bruder) seien beigezogen worden und vermöchten zu keiner anderen Schlussfolgerung zu führen, ebenso wenig die eingereichten Beweismittel, namentlich das - als Gefälligkeitsschreiben zu qualifizierende - Schreiben des Vorsitzenden der (...). Das Asylgesuch sei daher abzulehnen.</w:t>
      </w:r>
    </w:p>
    <w:p>
      <w:r>
        <w:rPr>
          <w:b/>
        </w:rPr>
        <w:t>E. 6.2</w:t>
      </w:r>
    </w:p>
    <w:p>
      <w:r>
        <w:t>In der Beschwerde wird im Asylpunkt vorgebracht, entgegen den Ausführungen der Vorinstanz könne nicht angenommen werden, dass der türkische Staat bei innerfamiliären Übergriffen auf Frauen schutzfähig und schutzwillig sei. Die Situation von Opfern geschlechtsspezifischer Gewalt in der Türkei sei kritisch, und Frauen würden keinen genügenden Schutz geniessen. Zudem sehe das türkische Strafgesetzbuch mildernde Umstände vor, wenn sich der Täter auf Gründe der Ehre berufen könne. Seit dem gescheiterten Putschversuch von Juli 2016 verzeichne die Türkei eine Zunahme von Gewalt gegen Frauen. In der Politik setze sich zunehmend ein konservativ-religiös geprägtes Frauenbild durch. Dies widerspiegle sich im Austritt der Türkei aus der Istanbul-Konvention. Damit bestünden begründete Zweifel an einem adäquaten Schutz der türkischen Frauen vor geschlechtsspezifischer und häuslicher Gewalt. Die Beschwerdeführerin habe begründete Furcht vor künftigen gewalttätigen Übergriffen durch ihren Ex-Ehemann sowie den Ehemann und könne keinen adäquaten Schutz durch die Behörden erwarten. Im Weiteren habe sie aufgrund ihrer politischen Aktivitäten (Einsatz für die Rechte der Frau, Unterstützung der [...] und der [...], Teilnahme an Kundgebungen) sowie ihrer familiären Herkunft und ihrer Unterstützung von gesuchten Verwandten in der Vergangenheit immer wieder Probleme mit den Behörden sowie Drittpersonen gehabt. Mit der Hausdurchsuchung habe sich die Lage zugespitzt. Sie sei offensichtlich ins Visier der Behörden geraten und gezielt verfolgt worden. Ihre Situation müsse ganzheitlich beurteilt werden. Als politisch aktive Frau aus einem oppositionellen Umfeld könne sie nicht damit rechnen, bei erneuter häuslicher Gewalt effektiven Schutz durch die Behörden zu erhalten. Sie müsste in ständiger Angst leben, was einen unerträglichen psychischen Druck erzeugen würde. Sie sei daher als Flüchtling anzuerkennen.</w:t>
      </w:r>
    </w:p>
    <w:p>
      <w:r>
        <w:rPr>
          <w:b/>
        </w:rPr>
        <w:t>E. 7.1</w:t>
      </w:r>
    </w:p>
    <w:p>
      <w:r>
        <w:t>Die Beschwerdeführerin macht geltend, sie fürchte sich bei einer Rückkehr in die Türkei sowohl vor ihrem Ex-Mann als auch vor ihrem zweiten Ehemann. Dazu ist Folgendes festzustellen: Die Probleme mit dem ersten Ehemann waren bereits Thema der beiden vorangehenden Asylverfahren (Asylgesuche vom 15. August 2007 sowie vom 21. Oktober 2011). Im Dezember (...) kehrte die Beschwerdeführerin freiwillig in die Türkei zurück. Sie brachte nicht vor, es sei in der Folge bis zu ihrer Ausreise in die Schweiz im Juli (...) erneut zu ernsthaften Problemen mit dem Ex-Mann gekommen; dies, obwohl sie den Akten zufolge zeitweilig in derselben Stadt ([F._______]) wohnte wie er (vgl. A20, F27, A37 F61). Der zweite Ehemann, welchen sie im Jahr (...) geheiratet hatte, war offenbar ebenfalls gewalttätig. Aufgrund der Angaben der Beschwerdeführerin (vgl. namentlich A20 F113) sowie der von ihr eingereichten Unterlagen betreffend die gegen den zweiten Ehemann eingeleiteten Verfahren wegen häuslicher Gewalt ist indessen - entgegen den entsprechenden Ausführungen in der Beschwerde - ohne weiteres von der Schutzwilligkeit und grundsätzlichen Schutzfähigkeit der mit dem Fall der Beschwerdeführerin befassten türkischen Behörden auszugehen. Im Übrigen hat sich die Beschwerdeführerin im September (...) von ihrem zweiten Mann, welcher in H._______ lebt, getrennt und ihn danach nicht mehr gesehen (vgl. A20 F18, F97 und F100). Seither ist es offenbar abgesehen von einer beleidigenden Textnachricht zu keinen weiteren Problemen mit dem zweiten Ehemann mehr gekommen (vgl. A20 F101, A37 F15 f.). Nach dem Gesagten ist nicht davon auszugehen, dass die Beschwerdeführerin im Ausreisezeitpunkt einer asylbeachtlichen Verfolgung durch ihre (Ex-)Ehemänner ausgesetzt war oder bei einer Rückkehr in die Türkei eine solche zu befürchten hätte.</w:t>
      </w:r>
    </w:p>
    <w:p>
      <w:r>
        <w:rPr>
          <w:b/>
        </w:rPr>
        <w:t>E. 7.2</w:t>
      </w:r>
    </w:p>
    <w:p>
      <w:r>
        <w:t>Die Vorbringen der Beschwerdeführerin betreffend ihr politisches Engagement (Teilnahme an Kundgebungen gegen Gewalt an Frauen, Verteilen von Flyern und Sammeln von Wählerstimmen zugunsten der [...] und der [...], Teilen von politischen Beiträgen auf Facebook) sowie die Anfeindungen auf Facebook und die geltend gemachte Hausdurchsuchung von Februar (...) sind sodann ebenfalls nicht als asylrelevant zu erachten. Die angeblich via Messenger erhaltenen Drohungen von Drittpersonen sowie die Hausdurchsuchung können angesichts ihrer geringen Intensität nicht als ernsthafter Nachteil im Sinne von Art. 3 Abs. 2 AsylG qualifiziert werden. Abgesehen von der angeblichen Hausdurchsuchung war die Beschwerdeführerin im Zusammenhang mit den geltend gemachten politischen Aktivitäten keinen weiteren behördlichen Massnahmen ausgesetzt. Angesichts ihrer niederschwelligen politischen Aktivitäten und der Tatsache, dass gegen sie ungeachtet der angeblichen Hausdurchsuchung bisher kein Verfahren eingeleitet wurde (vgl. A20 F86 sowie S. 7 der Beschwerde) ist nicht von einem ernsthaften Verfolgungsinteresse der türkischen Behörden auszugehen. Die geltend gemachte Furcht, bei einer Rückkehr in die Türkei wegen ihres politischen Engagements in asylbeachtlicher Weise verfolgt zu werden, ist daher unbegründet. Das im vorinstanzlichen Verfahren eingereichte (undatierte) Bestätigungsschreiben des Parteivorsitzenden der (...) sowie das Schreiben der Cousine L._______ vom 16. April 2021 (vgl. Beschwerdebeilage 3) vermögen an dieser Einschätzung nichts zu ändern, zumal es sich dabei um Gefälligkeitsschreiben handeln dürfte.</w:t>
      </w:r>
    </w:p>
    <w:p>
      <w:r>
        <w:rPr>
          <w:b/>
        </w:rPr>
        <w:t>E. 7.3</w:t>
      </w:r>
    </w:p>
    <w:p>
      <w:r>
        <w:t>Den Akten ist zu entnehmen, dass mehreren Cousinen/Cousins der Beschwerdeführerin im Jahr 2004 respektive 2007 in der Schweiz Asyl gewährt wurde. Auch der Bruder K._______ (vgl. N [...]) lebt schon seit über zwanzig Jahren in der Schweiz, und am (...) wurde er aufgrund von subjektiven Nachfluchtgründen als Flüchtling anerkannt. Ferner wurden angeblich zwei Neffen der Beschwerdeführerin vom türkischen Militär erschossen, und ein weiterer Neffe verstarb im Hungerstreik. Angesichts dessen erscheint es zwar glaubhaft, dass die Beschwerdeführerin aus einem politisch engagierten Milieu stammt. Gleichzeitig ist indessen festzustellen, dass sie abgesehen von gelegentlichen schikanösen Befragungen (vgl. A20 F87, A37 F34 f. und F50 ff.) keine Verfolgungsmassnahmen im Zusammenhang mit ihren Verwandten geltend gemacht hat und auch auf Beschwerdeebene dazu nichts Konkretes vorbringt, weshalb nicht davon auszugehen ist, dass sie bei einer Rückkehr in die Türkei deswegen ernsthaften Nachteilen im Sinne einer asylbeachtlichen Reflexverfolgung ausgesetzt wäre.</w:t>
      </w:r>
    </w:p>
    <w:p>
      <w:r>
        <w:rPr>
          <w:b/>
        </w:rPr>
        <w:t>E. 7.4</w:t>
      </w:r>
    </w:p>
    <w:p>
      <w:r>
        <w:t>Die bisherigen exilpolitischen Aktivitäten der Beschwerdeführerin beschränken sich den eingereichten Beweismitteln zufolge auf zwei kurze Beilträge auf Facebook betreffend Gewalt an Frauen beziehungsweise Frauenrechte sowie das Teilen von einigen Fotos (vgl. die am 5. Februar 2021 eingereichten Auszüge aus dem Facebook-Konto der Beschwerdeführerin; A38). Dieses geringfügige exilpolitische Engagement - auf Beschwerdeebene wird nichts Weiteres geltend gemacht - lässt nicht darauf schliessen, dass sich die Beschwerdeführerin damit massgeblich exponiert hat und von den türkischen Sicherheitsbehörden als regimefeindliche Person identifiziert wurde. Daher ist auch das Vorliegen von subjektiven Nachfluchtgründe (vgl. vorstehend E. 5.3) zu verneinen.</w:t>
      </w:r>
    </w:p>
    <w:p>
      <w:r>
        <w:rPr>
          <w:b/>
        </w:rPr>
        <w:t>E. 8</w:t>
      </w:r>
    </w:p>
    <w:p>
      <w:r>
        <w:t>Zusammenfassend ist festzustellen, dass keine konkreten Hinweise dafür vorliegen, dass die Beschwerdeführerin im Zeitpunkt ihrer Ausreise einer asylbeachtlichen Verfolgung oder einer entsprechenden Verfolgungsgefahr ausgesetzt war oder im Falle ihrer Rückkehr in die Türkei ernsthafte Nachteile im Sinne von Art. 3 Abs. 2 AsylG zu gewärtigen hätte. Demnach hat die Vorinstanz zu Recht die Flüchtlingseigenschaft verneint und das Asylgesuch abgelehnt.</w:t>
      </w:r>
    </w:p>
    <w:p>
      <w:r>
        <w:rPr>
          <w:b/>
        </w:rPr>
        <w:t>E. 9.1</w:t>
      </w:r>
    </w:p>
    <w:p>
      <w:r>
        <w:t>Lehnt das SEM das Asylgesuch ab oder tritt es darauf nicht ein, so verfügt es in der Regel die Wegweisung aus der Schweiz und ordnet den Vollzug an (Art. 44 AsylG).</w:t>
      </w:r>
    </w:p>
    <w:p>
      <w:r>
        <w:rPr>
          <w:b/>
        </w:rPr>
        <w:t>E. 9.2</w:t>
      </w:r>
    </w:p>
    <w:p>
      <w:r>
        <w:t>Die Beschwerdeführerin verfügt insbesondere weder über eine ausländerrechtliche Aufenthaltsbewilligung noch über einen Anspruch auf Erteilung einer solchen. Die Wegweisung wurde demnach zu Recht angeordnet (Art. 44 AsylG; vgl. BVGE 2013/37 E. 4.4; 2009/50 E. 9, je m.w.H.).</w:t>
      </w:r>
    </w:p>
    <w:p>
      <w:r>
        <w:rPr>
          <w:b/>
        </w:rPr>
        <w:t>E. 10</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10.1</w:t>
      </w:r>
    </w:p>
    <w:p>
      <w:r>
        <w:t>Der Vollzug ist nicht zulässig, wenn völkerrechtliche Verpflichtungen der Schweiz einer Weiterreise der Ausländerin oder des Ausländers in den Heimat-, Herkunfts- oder einen Drittstaat entgegenstehen (Art. 83 Abs. 3 AIG).</w:t>
      </w:r>
    </w:p>
    <w:p>
      <w:r>
        <w:rPr>
          <w:b/>
        </w:rPr>
        <w:t>E. 10.1.1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10.1.2</w:t>
      </w:r>
    </w:p>
    <w:p>
      <w:r>
        <w:t>Das flüchtlingsrechtliche Refoulement-Verbot schützt nur Personen, welche die Flüchtlingseigenschaft erfüllen. Da es der Beschwerdeführerin nicht gelungen ist, eine flüchtlingsrechtlich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Dies ist ihr - wie die vorstehenden Erwägungen zeigen - nicht gelungen.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10.2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10.2.1</w:t>
      </w:r>
    </w:p>
    <w:p>
      <w:r>
        <w:t>Auch unter Berücksichtigung der jüngeren Lageentwicklung - insbesondere des gescheiterten Militärputsches vom Juli 2016 sowie der türkischen Militäroffensiven auf Nordsyrien Anfang 2018 sowie im Oktober 2019 - ist nicht von einer landesweiten Situation allgemeiner Gewalt oder von bürgerkriegsähnlichen Verhältnissen auf dem gesamten Staatsgebiet der Türkei auszugehen (vgl. auch das Referenzurteil des BVGer E-1948/2018 vom 12. Juni 2018, E. 7.3). Die Rückkehr der Beschwerdeführerin in ihren Heimatstaat ist demnach als generell zumutbar zu erachten (vgl. beispielsweise auch das Urteil des BVGer D-5399/2018 vom 16. April 2021 E. 11.2 m.w.H.).</w:t>
      </w:r>
    </w:p>
    <w:p>
      <w:r>
        <w:rPr>
          <w:b/>
        </w:rPr>
        <w:t>E. 10.2.2</w:t>
      </w:r>
    </w:p>
    <w:p>
      <w:r>
        <w:t>Sodann sprechen auch keine individuellen Gründe gegen die Zumutbarkeit des Wegweisungsvollzugs: Aufgrund der Aktenlage ist davon auszugehen, dass die Beschwerdeführerin in der Türkei über ein tragfähiges Beziehungsnetz, bestehend aus Verwandten und Freunden, verfügt, auf welches sie bei Bedarf zurückgreifen kann. Vor ihrer Ausreise lebte sie zeitweilig in einem Haus in F._______, welches ihren Kindern gehört (vgl. A20 F28); entgegen den Vorbringen in der Beschwerde erscheint daher namentlich eine Rückkehr dorthin aufgrund der Aktenlage sowie der Erwägungen im Asylpunkt ohne weiteres als zumutbar. Hinsichtlich der finanziellen Verhältnisse der Beschwerdeführerin ist sodann gestützt auf ihre Angaben (vgl. A20 F49 ff.) festzustellen, dass sie rentenberechtigt wird, sobald sie sich von ihrem zweiten Ehemann scheiden lässt. Die von der Beschwerdeführerin geltend gemachten gesundheitlichen Probleme ([...]) sind auch in der Türkei adäquat behandelbar. Sollte die Beschwerdeführerin eine Behandlungslücke befürchten, hat sie die Möglichkeit, medizinische Rückehrhilfe zu beantragen. Nach dem Gesagten ist insgesamt nicht davon auszugehen, dass die Beschwerdeführerin bei einer Rückkehr ins Heimatland dort aus wirtschaftlichen, sozialen oder gesundheitlichen Gründen in eine existenzbedrohende Situation geraten würde. Der Wegweisungsvollzug ist daher als zumutbar zu erachten.</w:t>
      </w:r>
    </w:p>
    <w:p>
      <w:r>
        <w:rPr>
          <w:b/>
        </w:rPr>
        <w:t>E. 10.3</w:t>
      </w:r>
    </w:p>
    <w:p>
      <w:r>
        <w:t>Schliesslich obliegt es der Beschwerdeführerin, sich bei der zuständigen Vertretung des Heimatstaates die für eine Rückkehr notwendigen Reisedokumente zu beschaffen (vgl. Art. 8 Abs. 4 AsylG und dazu auch BVGE 2008/34 E. 12 S. 513-515), weshalb der Vollzug der Wegweisung auch als möglich zu bezeichnen ist (Art. 83 Abs. 2 AIG). Die aktuelle Corona-Pandemie steht dem Wegweisungsvollzug ebenfalls nicht entgegen; denn es handelt sich dabei - wenn überhaupt - um ein bloss temporäres Vollzugshindernis, welchem somit im Rahmen der Vollzugsmodalitäten durch die kantonalen Behörden Rechnung zu tragen ist, indem etwa der Zeitpunkt des Vollzugs der Situation im Heimatland angepasst wird.</w:t>
      </w:r>
    </w:p>
    <w:p>
      <w:r>
        <w:rPr>
          <w:b/>
        </w:rPr>
        <w:t>E. 10.4</w:t>
      </w:r>
    </w:p>
    <w:p>
      <w:r>
        <w:t>Zusammenfassend ist festzustellen, dass die Vorinstanz den Wegweisungsvollzug zu Recht als zulässig, zumutbar und möglich bezeichnet hat. Eine Anordnung der vorläufigen Aufnahme fällt damit ausser Betracht (Art. 83 Abs. 1-4 AIG).</w:t>
      </w:r>
    </w:p>
    <w:p>
      <w:r>
        <w:rPr>
          <w:b/>
        </w:rPr>
        <w:t>E. 11</w:t>
      </w:r>
    </w:p>
    <w:p>
      <w:r>
        <w:t>Aus diesen Erwägungen ergibt sich, dass die angefochtene Verfügung Bundesrecht nicht verletzt und auch sonst nicht zu beanstanden ist (Art. 106 Abs. 1 AsylG). Die Beschwerde ist abzuweisen.</w:t>
      </w:r>
    </w:p>
    <w:p>
      <w:r>
        <w:rPr>
          <w:b/>
        </w:rPr>
        <w:t>E. 12</w:t>
      </w:r>
    </w:p>
    <w:p>
      <w:r>
        <w:t>Bei diesem Ausgang des Verfahrens sind dessen Kosten der Beschwerdeführerin aufzuerlegen (Art. 63 Abs. 1 VwVG) und auf insgesamt Fr. 750.- festzusetzen (Art. 1-3 des Reglements vom 21. Februar 2008 über die Kosten und Entschädigungen vor dem Bundesverwaltungsgericht [VGKE, SR 173.320.2]). Dieser Betrag ist durch den am 21. Mai 2021 in gleicher Höhe geleisteten 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