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D-1854/2014 vom 29. September 2014</w:t>
      </w:r>
    </w:p>
    <w:p>
      <w:r>
        <w:t>Bundesverwaltungsgericht, 2014-09-29, DE</w:t>
      </w:r>
    </w:p>
    <w:p>
      <w:r>
        <w:rPr>
          <w:b/>
        </w:rPr>
        <w:t xml:space="preserve">Quelle: </w:t>
      </w:r>
      <w:r>
        <w:t>https://mcp.opencaselaw.ch/entscheid/bvger_D-1854_2014</w:t>
      </w:r>
    </w:p>
    <w:p>
      <w:r>
        <w:t>FR: TAF D-1854/2014 du 29 septembre 2014</w:t>
      </w:r>
    </w:p>
    <w:p>
      <w:r>
        <w:t>IT: TAF D-1854/2014 del 29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Das vorliegende Verfahren war zum Zeitpunkt des Inkrafttretens der Änderung des AsylG vom 14. Dezember 2012 - mithin am 1. Februar 2014 - hängig, weshalb vorliegend das neue Recht gilt (vgl. Abs. 1 der entsprechenden Übergangsbestimmungen).</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Mithin ist auf die Beschwerde einzutreten.</w:t>
      </w:r>
    </w:p>
    <w:p>
      <w:r>
        <w:rPr>
          <w:b/>
        </w:rPr>
        <w:t>E. 3</w:t>
      </w:r>
    </w:p>
    <w:p>
      <w:r>
        <w:t>Die Kognition des Bundesverwaltungsgerichts und die zulässigen Rügen bestimmen sich nach Art. 106 Abs. 1 AsylG.</w:t>
      </w:r>
    </w:p>
    <w:p>
      <w:r>
        <w:rPr>
          <w:b/>
        </w:rPr>
        <w:t>E. 4</w:t>
      </w:r>
    </w:p>
    <w:p>
      <w:r>
        <w:t>In der Regel entscheidet das Bundesverwaltungsgericht in der Besetzung mit drei Richtern oder drei Richterinnen (Art. 21 Abs. 1 VGG).</w:t>
      </w:r>
    </w:p>
    <w:p>
      <w:r>
        <w:rPr>
          <w:b/>
        </w:rPr>
        <w:t>E. 5.1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In der Rechtsmitteleingabe wird unter Bezugnahme auf eine Protokollstelle ([...]) eingewendet, die Vorinstanz habe zu Unrecht die Vorbringen des Beschwerdeführers hinsichtlich seiner (...) Cousins und der Aufforderung der Behörden zur Kooperation als unglaubhaft eingeschätzt und ausgeführt, diese hätten ihn nicht während so langer Zeit behelligt, wenn sie über irgendwelche Beweise gegen ihn verfügt hätten. Der Beschwerdeführer habe jahrelang unter diesem Druck leben müssen. Schliesslich sei das Ganze für ihn so unerträglich geworden, dass er ins Ausland habe flüchten müssen. Vor diesem Hintergrund müsse bei einer Gesamtwürdigung der Vorbringen davon ausgegangen werden, dass in casu zumindest im Sinne von Art. 3 AsylG eine Reflexverfolgung bestehe ([...]). Die Aussagen des Beschwerdeführers unter der erwähnten Protokollstelle, mit welchen dieser die behördlichen Behelligungen wegen seiner (...) Cousins schilderte, wurden von der Vorinstanz, welche unter Bezugnahme auf die einzelnen Verfolgungsvorbringen begründete, weshalb die geltend gemachte Reflexverfolgung den Anforderungen an die Glaubhaftigkeit nicht zu genügen vermöge, nach Ansicht des Gerichts auf korrekte Art und Weise gewürdigt. Diese angesprochene Würdigung der Verfolgungsvorbringen erweist sich nach der Überprüfung der Akten auch inhaltlich als zutreffend, weshalb zwecks Vermeidung von Wiederholungen darauf verwiesen werden kann (vgl. Sachverhalt Bst. B), während die diesbezüglich eher pauschale Argumentation in der Beschwerde nicht zu überzeugen vermag. Dasselbe gilt für die beiden weiteren, unter Bezugnahme auf zwei andere Protokollstellen erhobenen Einwände in der Beschwerde, wonach die Vorinstanz die Aussagen des Beschwerdeführers bezüglich der Festnahmen und der Todesdrohung durch den Gendarmeriekommandanten wegen Widersprüchen zu Unrecht als unglaubhaft qualifiziert habe ([...]), und der Beschwerdeführer die letzte und fluchtauslösende Festnahme vom (...) 2012 entgegen der Einschätzung durch die Vorinstanz erlebnisgeprägt und detailliert geschildert habe ([...]). Darüber hinaus vermag der Beschwerdeführer die vom BFM korrekt aufgelisteten Widersprüche und Ungereimtheiten in seiner Rechtsmitteleingabe auch nicht ansatzweise zu entkräften beziehungsweise auszuräumen.</w:t>
      </w:r>
    </w:p>
    <w:p>
      <w:r>
        <w:rPr>
          <w:b/>
        </w:rPr>
        <w:t>E. 6.2</w:t>
      </w:r>
    </w:p>
    <w:p>
      <w:r>
        <w:t>Schliesslich vermag auch die Argumentation in der Beschwerde zur Menschenrechtslage in der Türkei nicht zu überzeugen. In diesem Zusammenhang ist auf die grundsätzlichen Erwägungen in der angefochtenen Verfügung zur Frage der Reflexverfolgung in der Türkei zu verweisen, welche sich ebenfalls als zutreffend erweisen (vgl. Sachverhalt Bst. B). Nach dem Gesagten gelingt es dem Beschwerdeführer nicht, das Betroffensein von asylrelevanten Reflexverfolgungsmassnahmen glaubhaft zu machen.</w:t>
      </w:r>
    </w:p>
    <w:p>
      <w:r>
        <w:rPr>
          <w:b/>
        </w:rPr>
        <w:t>E. 6.3</w:t>
      </w:r>
    </w:p>
    <w:p>
      <w:r>
        <w:t>In Würdigung der gesamten Umstände und Vorbringen des Beschwerdeführers erübrigt es sich, auf die weiteren Ausführungen in der Beschwerde im Einzelnen einzugehen, da diese an der vorgenommenen Würdigung des Sachverhalts nichts zu ändern vermögen. Die Vorinstanz hat demnach das Asylgesuch zu Recht abgelehnt.</w:t>
      </w:r>
    </w:p>
    <w:p>
      <w:r>
        <w:rPr>
          <w:b/>
        </w:rPr>
        <w:t>E. 7</w:t>
      </w:r>
    </w:p>
    <w:p>
      <w:r>
        <w:t>Lehnt das Bundesamt das Asylgesuch ab oder tritt es darauf nicht ein, so verfügt es in der Regel die Wegweisung aus der Schweiz und ordnet den Vollzug an; es berücksichtigt dabei den Grundsatz der Einheit der Familie (Art. 44 AsylG). Der Beschwerdeführer verfügt weder über eine fremdenpolizeiliche Aufenthaltsbewilligung noch einen Anspruch auf Erteilung einer sol-chen. Die Wegweisung wurde demnach zu Recht angeordnet (Art. 44 AsylG; vgl. BVGE 2009/50 E. 9 S. 733 m.w.H).</w:t>
      </w:r>
    </w:p>
    <w:p>
      <w:r>
        <w:rPr>
          <w:b/>
        </w:rPr>
        <w:t>E. 8</w:t>
      </w:r>
    </w:p>
    <w:p>
      <w:r>
        <w:t>Ist der Vollzug der Wegweisung nicht zulässig, nicht zumutbar oder nicht möglich, so regelt das Bundesamt das Anwesenheitsverhältnis nach den gesetzlichen Bestimmungen über die vorläufige Aufnahme von Ausländern (Art. 44 AsylG; Art. 83 Abs. 1 Ausländergesetz [AuG, SR 142.20]).</w:t>
      </w:r>
    </w:p>
    <w:p>
      <w:r>
        <w:rPr>
          <w:b/>
        </w:rPr>
        <w:t>E. 8.1</w:t>
      </w:r>
    </w:p>
    <w:p>
      <w:r>
        <w:t>Der Vollzug ist nicht zulässig, wenn völkerrechtliche Verpflichtun­gen der Schweiz einer Weiterreise der Ausländerin oder des Auslän­ders in den Heimat-, Herkunfts- oder in einen Drittstaat entgegenste­hen (Art. 83 Abs. 3 AuG).</w:t>
      </w:r>
    </w:p>
    <w:p>
      <w:r>
        <w:rPr>
          <w:b/>
        </w:rPr>
        <w:t>E. 8.1.1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in die Türkei ist demnach unter dem Aspekt von Art. 5 AsylG rechtmässig.</w:t>
      </w:r>
    </w:p>
    <w:p>
      <w:r>
        <w:rPr>
          <w:b/>
        </w:rPr>
        <w:t>E. 8.1.2</w:t>
      </w:r>
    </w:p>
    <w:p>
      <w:r>
        <w:t>Gemäss Art. 25 Abs. 3 BV,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m.w.H.). Dies ist vorliegend nicht der Fall. Es besteht kein konkreter Anlass zur Annahme, dem Beschwerdeführer würde bei einer Rückkehr in sein Heimatland eine menschenrechtswidrige Behandlung drohen, zumal es ihm - wie oben unter Ziff. 6 der Erwägungen festgehalten wurde - nicht gelungen ist, eine aktuelle Verfolgungssituation darzutun.</w:t>
      </w:r>
    </w:p>
    <w:p>
      <w:r>
        <w:rPr>
          <w:b/>
        </w:rPr>
        <w:t>E. 8.1.3</w:t>
      </w:r>
    </w:p>
    <w:p>
      <w:r>
        <w:t>Der Vollzug der Wegweisung ist damit sowohl im Sinne der asyl- als auch der völkerrechtlichen Bestimmungen zulässig.</w:t>
      </w:r>
    </w:p>
    <w:p>
      <w:r>
        <w:rPr>
          <w:b/>
        </w:rPr>
        <w:t>E. 8.2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2009/41 E. 7.1 S. 576 f.; Botschaft zum Bundesgesetz über die Ausländerinnen und Ausländer vom 8. März 2002, BBl 2002 3818). Die Lage für die kurdische Minderheit in der Türkei ist zwar angespannt. Abgesehen von den Provinzen Hakkari und Sirnak (vgl. BVGE 2013/2 E. 9 S. 11 ff.) ist jedoch nicht von einer Situation allgemeiner Gewalt auszugehen, die einen Wegweisungsvollzug für Asylsuchende kurdischer Ethnie generell als unzumutbar erscheinen liesse. Der aus der Provinz I._______ stammende Beschwerdeführer hat eigenen Angaben zufolge den Grundschulunterricht während (...) Jahren besucht. In der Folge war er sowohl im familieneigenen Landwirtschaftsbetrieb als auch (...) tätig ([...]). Nebst seiner kurdischen Muttersprache spricht er auch Türkisch ([...]). Seine nächsten Familienangehörigen ([...]) sind mehrheitlich nach wie vor in E._______ wohnhaft, wo sich der Landwirtschaftsbetrieb der Familie befindet ([...]). Er ist noch jung und leidet - soweit aktenkundig - an keinen, geschweige denn schwerwiegenden, gesundheitlichen Problemen. Demnach liegen keine Anhaltspunkte dafür vor, dass der Beschwerdeführer bei einer Rückkehr in seinen Heimatstaat aus individuellen Gründen wirtschaftlicher, sozialer oder gesundheitlicher Natur in eine existenzbedrohende Situation geraten würde. Nach dem Gesagten kann der Vollzug der Wegweisung - entgegen der in der Rechtsmitteleingabe vertretenen Auffassung - sowohl in genereller als auch in individueller Hinsicht als zumutbar bezeichnet werden.</w:t>
      </w:r>
    </w:p>
    <w:p>
      <w:r>
        <w:rPr>
          <w:b/>
        </w:rPr>
        <w:t>E. 8.3</w:t>
      </w:r>
    </w:p>
    <w:p>
      <w:r>
        <w:t>Schliesslich obliegt es dem Beschwerdeführer, dessen Reisepass abgelaufen ist, sich bei der zuständigen Vertretung seines Heimatstaates allfällige weitere für eine Rückkehr notwendigen Reisedokumente zu beschaffen (Art. 8 Abs. 4 AsylG; vgl. BVGE 2008/34 E. 12 S. 513 ff.), weshalb der Vollzug der Wegweisung auch als möglich zu bezeichnen ist (Art. 83 Abs. 2 AuG).</w:t>
      </w:r>
    </w:p>
    <w:p>
      <w:r>
        <w:rPr>
          <w:b/>
        </w:rPr>
        <w:t>E. 8.4</w:t>
      </w:r>
    </w:p>
    <w:p>
      <w:r>
        <w:t>Insgesamt hat das Bundesamt den Vollzug der Wegweisung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