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D-1852/2011 vom 20. April 2011</w:t>
      </w:r>
    </w:p>
    <w:p>
      <w:r>
        <w:t>Bundesverwaltungsgericht, 2011-04-20, DE</w:t>
      </w:r>
    </w:p>
    <w:p>
      <w:r>
        <w:rPr>
          <w:b/>
        </w:rPr>
        <w:t xml:space="preserve">Quelle: </w:t>
      </w:r>
      <w:r>
        <w:t>https://mcp.opencaselaw.ch/entscheid/bvger_D-1852_2011</w:t>
      </w:r>
    </w:p>
    <w:p>
      <w:r>
        <w:t>FR: TAF D-1852/2011 du 20 avril 2011</w:t>
      </w:r>
    </w:p>
    <w:p>
      <w:r>
        <w:t>IT: TAF D-1852/2011 del 20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E.5.2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E.5.7), was vorliegend erfolgt ist (vgl. Erwägung A.d vorstehend). Ausserdem hat das BFM den Verzicht auf eine Befragung zu begründen (vgl. BVGE 2007/30 E.5.6-5.7), was das Bundesamt in casu getan hat.</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Die Vorbringen in der Rechtsmitteleingabe vom 4. März 2011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zutreffenden Erwägungen des BFM nicht umzustossen. Die angebliche Verfolgung durch Mitglieder der Sicherheitskräfte und des Geheimdienstes ist heute nicht mehr aktuell. Das Asylrecht hat indes nicht die Funktion eines Ausgleichs für allfällig erlittenes Unrecht in der Vergangenheit. Für das Bundesverwaltungsgericht besteht somit nach Überprüfung der Akten keine Veranlassung, die Erwägungen des Bundesamtes zu beanstanden. Im Übrigen haben die srilankischen Behörden am 18. Mai 2009 den endgültigen Sieg über die LTTE verkündet und den Bürgerkrieg offiziell für beendet erklärt.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 Bei dieser Sachlage kann zur Vermeidung von Wiederholungen auf die Erwägungen in der angefochtenen Verfügung verwiesen werden. Nach dem Gesagten erfüllt der Beschwerdeführer die Flüchtlingseigenschaft gemäss Art. 3 AsylG nicht.</w:t>
      </w:r>
    </w:p>
    <w:p>
      <w:r>
        <w:rPr>
          <w:b/>
        </w:rPr>
        <w:t>E. 5.2</w:t>
      </w:r>
    </w:p>
    <w:p>
      <w:r>
        <w:t>Unter diesen Umständen erübrigt es sich, auf die weiteren Vor­bringen in der Beschwerde und das als Beweismittel eingereichte Dokument im Einzelnen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