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D-184/2012 vom 1. März 2012</w:t>
      </w:r>
    </w:p>
    <w:p>
      <w:r>
        <w:t>Bundesverwaltungsgericht, 2012-03-01, DE</w:t>
      </w:r>
    </w:p>
    <w:p>
      <w:r>
        <w:rPr>
          <w:b/>
        </w:rPr>
        <w:t xml:space="preserve">Quelle: </w:t>
      </w:r>
      <w:r>
        <w:t>https://mcp.opencaselaw.ch/entscheid/bvger_D-184_2012</w:t>
      </w:r>
    </w:p>
    <w:p>
      <w:r>
        <w:t>FR: TAF D-184/2012 du 1 mars 2012</w:t>
      </w:r>
    </w:p>
    <w:p>
      <w:r>
        <w:t>IT: TAF D-184/2012 del 1 marzo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Die Frage des Auslieferungsersuchens stellt sich vorliegend nicht, weil sich der Beschwerdeführer nicht in der Schweiz aufhält,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w:t>
      </w:r>
    </w:p>
    <w:p>
      <w:r>
        <w:rPr>
          <w:b/>
        </w:rPr>
        <w:t>E. 4.2</w:t>
      </w:r>
    </w:p>
    <w:p>
      <w:r>
        <w:t>Die schweizerische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AsylV1). Die schweizerische Vertretung überweist dem Bundesamt das Befragungsprotokoll oder das schriftliche Asylgesuchs sowie weitere zweckdienliche Unterlagen und einen ergänzenden Bericht, der ihre Beurteilung des Asylgesuchs enthält (Art. 10 Abs. 3 AsylV1).</w:t>
      </w:r>
    </w:p>
    <w:p>
      <w:r>
        <w:rPr>
          <w:b/>
        </w:rPr>
        <w:t>E. 4.3</w:t>
      </w:r>
    </w:p>
    <w:p>
      <w:r>
        <w:t>Gemäss Praxis des Bundesverwaltungsgerichts ist die asylsuchende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der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BVGE 2007/30 E. 5 S. 362).</w:t>
      </w:r>
    </w:p>
    <w:p>
      <w:r>
        <w:rPr>
          <w:b/>
        </w:rPr>
        <w:t>E. 4.4</w:t>
      </w:r>
    </w:p>
    <w:p>
      <w:r>
        <w:t>Vorliegend ging das BFM davon aus, der Sachverhalt sei aufgrund der schriftlichen Eingaben entscheidreif erstellt. Diese Sichtweise ist vertretbar, sind doch die Eingaben vom 24. Januar 2009 (schriftliches Asylgesuch, bei der Botschaft eingegangen am 30. Januar 2009), vom 14. September 2009 (undatierte Ergänzung zum schriftlichen Asylgesuch, bei der Botschaft eingegangen am 14. September 2009) und vom 7. August 2011 (Stellungnahme anlässlich der Gewährung des rechtlichen Gehörs, bei der Botschaft eingegangen am 17. August 2011) insgesamt genügend klar formuliert. Unter diesen Umständen erübrigte sich für die Vorinstanz die Aufbietung des Beschwerdeführers zu einer Befragung. Da den vom Bundesverwaltungsgericht ferner aufgeführten Erfordernissen (Gewährung des rechtlichen Gehörs, Begründung des Verzichts auf die Befragung) ebenfalls Rechnung getragen wurde, ist die Vorgehensweise des BFM nicht zu beanstanden.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Das Bundesamt kann ein im Ausland gestelltes Asylgesuch ablehnen, wenn die asylsuchenden Personen keine Verfolgung glaubhaft machen können oder ihnen die Aufnahme in einem Drittstaat zugemutet werden kann. Glaubhaft gemacht ist die Verfolgung,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5.3</w:t>
      </w:r>
    </w:p>
    <w:p>
      <w:r>
        <w:t>Gemäss Art. 20 Abs. 2 AsylG bewilligt das BFM Asylsuchenden die Einreise zur Abklärung des Sachverhalts,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5.4</w:t>
      </w:r>
    </w:p>
    <w:p>
      <w:r>
        <w:t>Bei diesem Entscheid gelten restriktive Voraussetzungen für die Erteilung der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2004 Nr. 21 E. 2b, EMARK 1997 Nr. 15 E. 2.e-g). Ausschlaggebend für die Erteilung der Einreisebewilligung ist die Schutzbedürftigkeit der betroffenen Person (vgl. EMARK 1997 Nr. 15 E. 2c), mithin die Frage, ob eine Gefährdung im Sinne von Art. 3 AsylG glaubhaft gemacht wird und ob der Verbleib am Aufenthaltsort für die Dauer der Sachverhaltsabklärung zugemutet werden kann.</w:t>
      </w:r>
    </w:p>
    <w:p>
      <w:r>
        <w:rPr>
          <w:b/>
        </w:rPr>
        <w:t>E. 6.1</w:t>
      </w:r>
    </w:p>
    <w:p>
      <w:r>
        <w:t>Einleitend ist festzuhalten, dass sich der Beschwerdeführer in seiner Beschwerde nicht explizit mit den substanziierten und überzeugenden Erwägungen der Vorinstanz auseinandersetzt. Vielmehr wiederholt er in verkürzter Version seine bereits im Verfahren vor dem Bundesamt gemachten Sachverhaltsvorbringen und verweist pauschal auf seine schwierigen Lebensbedingungen in Sri Lanka. Er werde von Angehörigen des CID verfolgt und fürchte um sein Leben. Nach Prüfung der Akten gelangt das Bundesverwaltungsgericht zum Schluss, dass das BFM den rechtserheblichen Sachverhalt in ausreichen­der Weise abgeklärt hat, um einen Entscheid über die Frage einer Gefährdung des Beschwerdeführers fällen zu können.</w:t>
      </w:r>
    </w:p>
    <w:p>
      <w:r>
        <w:rPr>
          <w:b/>
        </w:rPr>
        <w:t>E. 6.2</w:t>
      </w:r>
    </w:p>
    <w:p>
      <w:r>
        <w:t>Die Einschätzung des BFM, wonach sich aus den wesentlichen Vorbringen des Beschwerdeführers, er und seine Familie seien vom CID behelligt worden, keine asylrelevante Gefährdungssituation des Beschwerdeführers ergebe, ist - wie nachfolgend aufgezeigt - zu bestätigen.</w:t>
      </w:r>
    </w:p>
    <w:p>
      <w:r>
        <w:rPr>
          <w:b/>
        </w:rPr>
        <w:t>E. 6.3</w:t>
      </w:r>
    </w:p>
    <w:p>
      <w:r>
        <w:t>Vorab ist auf die ausführliche Lageanalyse des Bundesverwaltungsgerichts im kürzlich ergangenen, zur Publikation vorgesehenen Urteil BVGE E-6220/2006 vom 27. Oktober 2011 zur Situation in Sri Lanka hinzuweisen. Darin stellte das Gericht im Wesentlichen fest, dass sich die Lage in Sri Lanka seit Beendigung des militärischen Konflikts zwischen der sri-lankischen Armee und den LTTE im Mai 2009 erheblich verbessert hat. Militärisch würden die LTTE als vernichtet gelten und auch die Sicherheitslage habe sich in bedeutsamer Weise stabilisiert. Gleichzeitig habe sich die Menschenrechtslage vor allem hinsichtlich der Meinungsäusserungs- und Pressefreiheit weiter verschlechtert. Politisch Oppositionelle würden seitens der Regierung als Staatsfeinde betrachtet und müssten mit entsprechenden Verfolgungsmassnahmen rechnen. Angesichts der allgemein verbesserten Lage definierte das Gericht Personenkreise, welche einer erhöhten Verfolgungsgefahr unterliegen. Dar­unter würden Personen fallen, welche auch nach Beendigung des Krie­ges ver­dächtigt würden, mit den LTTE in Verbindung zu stehen beziehungs­weise gestanden zu haben. Auch unabhängige Journalisten beziehungs­weise regierungskritische Medienschaffende verfügten über ein erhöhtes Risikopro­fil. Im Weiteren sei bei Opfern und Zeugen von Menschenrechts­verletzungen und Personen, die entsprechende Über­griffe behördlich angezeigt hätten, mit erhöhter Verfolgungsgefahr zu rech­nen. Ausserdem liefen abgewiesene tamilische Asylsuchende aus der Schweiz unter Umständen Gefahr, bei der Rückkehr behördlich be­langt zu werden, weil ihnen Kontakte zu führenden LTTE-Kadern in der Schweiz unterstellt würden. Wegen drohender Erpressung, Kidnapping und anderen Verfolgungshandlungen bildeten schliesslich Personen, welche über be­trächt­liche finanzielle Mittel verfügten, eine weitere Risikogruppe.</w:t>
      </w:r>
    </w:p>
    <w:p>
      <w:r>
        <w:rPr>
          <w:b/>
        </w:rPr>
        <w:t>E. 6.4</w:t>
      </w:r>
    </w:p>
    <w:p>
      <w:r>
        <w:t>Vorliegend ist mit der Vorinstanz festzuhalten, dass der Beschwerdeführer mit überwiegender Wahrscheinlichkeit in absehbarer Zukunft keine ernsthaften Nachteile durch Verfolgungsmassnahmen der sri-lankischen Sicherheitskräfte zu befürchten hat. Insgesamt weist der Beschwerdeführer trotz des geltend gemachten Freiheitsentzuges, der anschliessenden Behelligungen und der Suche nach ihm kein besonderes Risikoprofil auf, das ihn und seine Familie aktuell aus objektiver Sicht als gefährdet erscheinen liesse. Seine Festnahme erfolgte allem Anschein nach im Rahmen eines routinemässigen Round-Ups. Solche Massnahmen durch die Polizei sind - vor allem mit Blick auf die damalige Bürgerkriegssituation - vor dem Hintergrund der allgemeinen Bekämpfung der LTTE zu sehen. Seit dem Ende des Bürgerkriegs hat sich die Lage in Sri Lanka allerdings erheblich verbessert. Zwar gehören Personen, die einer Verbindung zu den LTTE verdächtigt werden, gemäss oben zusammengefasster Praxis des Bundesverwaltungsgerichts auch heute potentiell noch zu einer Risikogruppe (vgl. a.a.O. E. 8.1). Indes sind den Akten keinerlei Beziehungen des Beschwerdeführers zu den LTTE zu entnehmen. Da der Beschwerdeführer zudem am 17. Juli 2009 ohne Auflagen aus der Haft entlassen wurde, ist davon auszugehen, dass seitens der sri-lankischen Sicherheitskräfte nichts mehr gegen ihn vorliegt. Er verfügt folglich über kein besonderes Profil, welches eine Gefährdung im Sinne von Art. 3 AsylG als wahrscheinlich erscheinen lässt. Der Beschwerdeführer macht zwar geltend, im Nachgang an die Festnahme durch die Polizei beziehungsweise durch Mitarbeiter des CID gesucht worden zu sein. Dass die Festnahme indes zum heutigen Zeitpunkt über zwei Jahre zurückliegt und der Beschwerdeführer seither offenbar nie weitergehenden Massnahmen als Überwachung und Befragungen unterzogen wurde, weist jedoch auf ein mangelndes Verfolgungsinteresse der sri-lankischen Sicherheitskräfte hin. Läge seitens der sri-lankischen Sicherheitskräfte tatsächlich ein Interesse an seiner Verfolgung vor, ist davon auszugehen, sie hätten ihn bei der bestandenen Gelegenheit verhaftet. Die blosse Überwachung jedenfalls vermag den Anforderungen an die Asylrelevanz mangels ausreichender Intensität nicht zu genügen. Das fehlende Risikoprofil und die Tatsache, dass der Beschwerdeführer seit der Haftentlassung keinen asylrelevanten Verfolgungsmassnahmen unterzogen wurde, lassen eine zukünftige Verfolgung durch die sri-lankischen Sicherheitskräfte als überwiegend unwahrscheinlich erscheinen. Zusammengefasst sind die vorgebrachten Schwierigkeiten mit der einmaligen Inhaftierung durch Angehörige des CID in ihrer Intensität und Ausprägung nicht asylbeachtlich. Sodann ist festzuhalten, dass die Vorbringen des Beschwerdeführers bezüglich der Verfolgung durch das CID und die Drohungen gegenüber seiner Familie sehr vage ausgefallen sind. Die geltend gemachten Vorbringen vermitteln insgesamt nicht den Eindruck zielgerichtet und intensiv verfolgter Personen vor Ort. Bei einem ernsthaften Verdacht der staatlichen Behörden, dass sich der Beschwerdeführer an terroristischen Aktivitäten beteiligt hätte oder sonst eine Gefahr für die Sicherheit des sri-lankischen Staates darstellen würde, wäre er nicht bereits nach kurzer Zeit von der Polizei wieder gehen gelassen worden. Gemäss Erkenntnissen der schweizerischen Asylbehörden geht der sri-lankische Staat nämlich rigoros gegen Terrorverdächtige vor. Die Furcht des Beschwerdeführers vor einer Verfolgung im Heimatland ist daher - in Übereinstimmung mit den Ausführungen des BFM - als objektiv nicht begründet im Sinne des Asylgesetzes einzustufen.</w:t>
      </w:r>
    </w:p>
    <w:p>
      <w:r>
        <w:rPr>
          <w:b/>
        </w:rPr>
        <w:t>E. 6.5</w:t>
      </w:r>
    </w:p>
    <w:p>
      <w:r>
        <w:t>Somit ist festzustellen, dass der Beschwerdeführer nicht schutzbedürftig im Sinne von Art. 3 AsylG ist. Aufgrund der vorstehenden Erwägungen erübrigt es sich, auf die weiteren Ausführungen und die im vorinstanzlichen Verfahren eingereichten Beweismittel einzugehen, da sie am festgestellten Ergebnis nichts zu ändern vermögen. Das BFM hat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Fr. 600.- an sich dem Beschwerdeführer aufzuerlegen (Art. 63 Abs. 1 VwVG); aus verwaltungsökonomischen Gründen ist indessen in Anwendung von Art. 6 des Reglements vom 21. Februar 2008 über die Kosten und Entschädigungen vor dem Bundesverwaltungsgericht (VGKE, SR 173.320.2) auf das Erheben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