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D-1849/2025 vom 28. März 2025</w:t>
      </w:r>
    </w:p>
    <w:p>
      <w:r>
        <w:t>Bundesverwaltungsgericht, 2025-03-28, DE</w:t>
      </w:r>
    </w:p>
    <w:p>
      <w:r>
        <w:rPr>
          <w:b/>
        </w:rPr>
        <w:t xml:space="preserve">Quelle: </w:t>
      </w:r>
      <w:r>
        <w:t>https://mcp.opencaselaw.ch/entscheid/bvger_D-1849_2025</w:t>
      </w:r>
    </w:p>
    <w:p>
      <w:r>
        <w:t>FR: TAF D-1849/2025 du 28 mars 2025</w:t>
      </w:r>
    </w:p>
    <w:p>
      <w:r>
        <w:t>IT: TAF D-1849/2025 del 28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Es befindet sich weder in den vorinstanzlichen Akten (A26/4) noch in den Beschwerdebeilagen (Beilage A) eine Vollmacht der rubrizierten Rechtsvertreterin, welche vom Beschwerdeführer unterzeichnet ist. Auf- grund der bisherigen faktischen Vertretung vor Vorinstanz kann auf das Einfordern einer rechtsgültig unterzeichneten Vollmacht beziehungsweise einer Beschwerdeverbesserung aus prozessökonomischen Gründen ver- zichtet werden, zumal dem Beschwerdeführer aus der Behandlung der Ein- gabe als Beschwerde kein Rechtsnachteil erwächst.</w:t>
      </w:r>
    </w:p>
    <w:p>
      <w:r>
        <w:rPr>
          <w:b/>
        </w:rPr>
        <w:t>E. 1.3</w:t>
      </w:r>
    </w:p>
    <w:p>
      <w:r>
        <w:t>Auf die frist- und (abgesehen vom erwähnten Fehlen der Unterschrift des Beschwerdeführers) formgerecht eingereichte Beschwerde ist einzu- treten (Art. 105 und 108 Abs. 2 AsylG, Art. 52 Abs. 1 VwVG).</w:t>
      </w:r>
    </w:p>
    <w:p>
      <w:r>
        <w:t>D-1849/2025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des Beschwerdeführers hielten den Anforderungen an die Glaubhaftigkeit gemäss Art. 7 AsylG nicht stand, weshalb deren Asylrele- vanz nicht geprüft werden müsse. Der Beschwerdeführer erfülle die Flücht- lingseigenschaft nicht. Zunächst seien die Angaben des Beschwerdeführers trotz mehrfacher Auf- forderung, die Erlebnisse zur Tötung des Vaters, der Haftstrafe und den Racheplänen von E.I. sowie zu den Besuchen der Imbonerakuren detail-</w:t>
      </w:r>
    </w:p>
    <w:p>
      <w:r>
        <w:t>D-1849/2025 Seite 5 liert und ausführlich zu schildern, vage, wenig substantiiert und in wesent- lichen Punkten widersprüchlich gewesen. So habe er an der Anhörung trotz entsprechenden Nachfragen mehrmals angegeben, nie an einem anderen Wohnort, sondern «nur in Bujumbura» und einzig zusammen mit seiner Mutter gelebt zu haben, obwohl er in der EB UMA erklärt habe, vom 6. Sep- tember 2019 bis zu seiner Ausreise am 16. Oktober 2022 zusammen mit seinem Grossvater in Rugombo (Provinz Cibitoke) gewohnt zu haben. Gleichzeitig habe er unter anderem vorgebracht, bei seiner Cousine in Ki- gobe gelebt zu haben, was er in der EB UMA nicht erwähnt habe, und zu- dem erklärt, gemeinsam mit seiner Mutter bei der Cousine gewohnt zu ha- ben. Es seien hinsichtlich dieser wesentlichen Vorbringen zu den Aufent- haltsorten und den Personen, mit denen er von seinem Wohnort wegge- gangen beziehungsweise zusammengelebt habe, einheitlichere Angaben zu erwarten gewesen. Alsdann habe er den Widerspruch seiner Angabe, die Schule zuletzt im Jahr 2019 besucht zu haben, obwohl der eingereichte gültige Schülerausweis das Schuljahr 2021/2022 ausweise, nicht nachvoll- ziehbar aufzulösen vermocht. Die Anzahl der Besuche der Imbonakure als «öfter»zu beschreiben sei vage und nachdem gemäss eigenen Angaben der letzte Besuch im Jahr 2019 gewesen sei und sich nach seinem Wegzug nach Rugombo nichts mehr ereignet habe, seien die Angaben von zwei beziehungsweise drei Besuchen nach seinem Wegzug im Jahr 2021 wi- dersprüchlich. Zudem habe er einzig und erst in der Anhörung von seiner gewalttätigen vorübergehenden Entführung im Jahr 2019 – wie auch der- jenigen der Mutter – berichtet. Zu einer möglichen Verbindung zwischen den von ihm genannten unterschiedlichen Besuchern befragt, habe er ein- zig vage und unsubstantiert erklärt, nur «ein Problem», nämlich mit E.I. zu haben, weshalb diese Personen zusammengehören würden. Auch zu sei- ner Annahme, E.I. könne ihr Chef sein, habe er nur substanzlose Angaben machen können. Weshalb die Racheabsichten von E.I sich einzig gegen ihn und seine Mutter richten würden, obwohl jener «alle» Familienmitglie- der töten wolle und der Beschwerdeführer zwei Geschwister mit demsel- ben Vater habe, erschliesse sich ebensowenig, wie der Umstand, dass die Gerichtsverhandlung bereits im Jahr 2017/2018 stattgefunden habe, er aber erst im Jahr 2019 von dessen Freunden behelligt worden sei. Seine Angaben zu den Beziehungen von E.I. und einer vorzeitigen Freilassung würden sich einzig auf Mutmassungen stützen. Insgesamt würden die An- gaben – auch in Berücksichtigung des jugendlichen Alters im Zeitpunkt der Befragungen – nicht die Qualität aufweisen, die auf eigenes Erleben schliessen lassen würde.</w:t>
      </w:r>
    </w:p>
    <w:p>
      <w:r>
        <w:t>D-1849/2025 Seite 6</w:t>
      </w:r>
    </w:p>
    <w:p>
      <w:r>
        <w:rPr>
          <w:b/>
        </w:rPr>
        <w:t>E. 5.2</w:t>
      </w:r>
    </w:p>
    <w:p>
      <w:r>
        <w:t>In der Beschwerde wird nebst Wiederholung des Sachverhaltes im We- sentlichen neu vorgebracht, die Mutter sei mehrmals entführt und misshan- delt worden und E.I. sei aufgrund seines Einflusses tatsächlich vorzeitig freigelassen worden. Deshalb sei die Mutter des Beschwerdeführers geflo- hen und befinde sich nun in Conga. Im Weiteren seien seine unterschied- lichen Angaben nicht widersprüchlich, sondern sowohl im jungen Alter des Beschwerdeführers, als auch darin begründet, dass die summarische Erst- befragung einen anderen Zweck erfülle, als die Anhörung. So seien die Asylgründe in der Erstbefragung in kurzer Form darzulegen, um erste In- formationen einzuholen. Der Beschwerdeführer habe zwar den Wohnort beim Grossvater genannt, jedoch sei vorstellbar, dass er Bujumbura als seinen offiziellen Wohnsitz gedeutet habe. Das auf dem Schülerausweis erwähnte Schuljahr sei deswegen schlüssig, weil er bei Fortsetzung der Schule dann seinen Abschluss machen würde. Die dem Beschwerdeführer zugestossenen Ereignisse beziehungsweise die Besuche der Imbonerak- ure seien alsdann in der EB UMA aufgrund des summarischen Zweckes nicht detailliert beschrieben worden. Die Entführung habe er plausibel be- schreiben können und die Angaben würden Qualitätsmerkmale («diverse descrizioni dell'edificio, delle persone, dell'orario»; unterschiedliche Be- schreibungen des Gebäudes, von Menschen und Zeit) aufweisen. Der der Beschwerde beigelegte Fotoausdruck, auf dem der junge Beschwerdefüh- rer mit dem Vater und E.I. mit einem Gewehr zu sehen sei, weise zudem nach, dass E.I. den Vater des Beschwerdeführers – wenn auch vergeblich – zu einem Beitritt bei den Imbonerakuren habe überzeugen wollen. Der Beschwerdeführer habe im Zeitpunkt der Ausreise begründete Furcht vor ernsthaften Nachteilen gehabt und wäre bei einer Rückkehr den Racheplä- nen von E.I. aufgrund seiner Verbindungen zu den Regierungsbehörden schutzlos ausgeliefert. Der Beschwerdeführer erfülle die Flüchtlingseigen- schaft nach Art. 3 AsylG.</w:t>
      </w:r>
    </w:p>
    <w:p>
      <w:r>
        <w:rPr>
          <w:b/>
        </w:rPr>
        <w:t>E. 6.1</w:t>
      </w:r>
    </w:p>
    <w:p>
      <w:r>
        <w:t>Das Bundesverwaltungsgericht gelangt nach Prüfung der Akten zum Schluss, dass die Vorinstanz zutreffend festgehalten hat, die Vorbringen des Beschwerdeführers genügten den Anforderungen an die Glaubhaf- tigkeit im Sinne von Art. 7 AsylG nicht. Auf die betreffenden Ausführungen in der angefochtenen Verfügung (vgl. vorstehend E. 6.1) kann mit den nachfolgenden Ergänzungen verwiesen werden. Die Ausführungen auf Be- schwerdeebene führen insgesamt, wie zu sehen sein wird, zu keiner ande- ren Betrachtungsweise. Auf die Entgegnungen in der Beschwerde und das eingereichte Beweismittel ist im Folgenden näher einzugehen:</w:t>
      </w:r>
    </w:p>
    <w:p>
      <w:r>
        <w:t>D-1849/2025 Seite 7</w:t>
      </w:r>
    </w:p>
    <w:p>
      <w:r>
        <w:rPr>
          <w:b/>
        </w:rPr>
        <w:t>E. 6.2</w:t>
      </w:r>
    </w:p>
    <w:p>
      <w:r>
        <w:t>Zunächst ist der Erklärungsversuch, die fehlende Glaubhaftigkeit der Aussagen des Beschwerdeführers sei auf einen unterschiedlichen Zweck der summarischen EB UMA und der vertieften Anhörung zurückzuführen, nicht überzeugend. Der Beschwerdeführer vermag die von der Vorinstanz zutreffend aufgezeigten Widersprüche nicht zu entkräften und angesichts der zahlreichen unterschiedlichen und/oder fehlenden Angaben zu wesent- lichen Sachverhaltselementen wie dem Wohnort, zu beteiligten Personen und den Besuchen beziehungsweise Entführungen der Imbonerakure kann der Beschwerdeführer aus dem Charakter der EB UMA nichts zu seinen Gunsten ableiten. Vielmehr wäre zu erwarten gewesen, dass er ein wohl einschneidendes und wesentliches Erlebnis, wie eine gewalttätige Entfüh- rung bei Wahrunterstellung bereits in der EB UMA vorgebracht hätte. Es ist mit der Vorinstanz festzuhalten, dass auch in Berücksichtigung des jungen Alters und seiner Persönlichkeit (elf Schuljahre) die Schilderungen nicht nur widersprüchlich, sondern insgesamt vage und unsubstantiiert ausfie- len. So fällt auf, dass seine Darlegungen zu den Ereignissen vor dem Tod des Vaters bis zur Festnahme von E.I. beziehungsweise bis zum Jahr 2019 zwar weniger knapp ausfallen, als die spärlichen Angaben zu den Asylvor- bringen danach bis zur Ausreise (A12/13, Ziff. 7.01). Nachdem er in der Anhörung jedoch zu eben genau dieser massgeblichen Zeitperiode ab dem Jahr 2019 (A19/14, F36 ff.) nicht nur ergänzende, sondern auch zusätzlich neue Vorbringen (beispielsweise die Entführungen) gemacht hat, wird der Anschein von nachgeschobenen Elementen erweckt. Ungeachtet der feh- lenden Glaubhaftigkeit der Vorbringen wurden (auch) auf Beschwerde- ebene keinerlei Beweismittel eingebracht, welche auf eine konkrete Ge- fährdung durch die Imbonerakure beziehungsweise durch E.I oder auf des- sen vorzeitige Freilassung schliessen liessen. Aus dem eingereichten Fo- toausdruck, auf welchem der Beschwerdeführer in seiner Jugend mit dem Vater und E.I. abgebildet sein soll, lässt sich jedenfalls nichts zu Gunsten des Beschwerdeführers ableiten. Reine Mutmassungen und Gegenbe- hauptungen sind unbehelflich. Um Wiederholungen zu vermeiden ist auf die zahlreichen in der angefochtenen Verfügung aufgeführten Beispiele zu verweisen (vi-Entscheid, Ziff. II). Insgesamt sind die Vorbringen nicht glaubhaft. Infolgedessen wird einem Verfolgungsmotiv der Imbonerakure beziehungsweise von E.I. die Grundlage entzogen, weshalb sich weiterge- hende Erwägungen zu den Vorbringen in der Beschwerde (beispielsweise Qualitätsmerkmale, Rachepläne, Schutz der Behörden) erübrigen. Im Üb- rigen vermag der Beschwerdeführer die Zweifel auch hinsichtlich des Stu- dentenausweises nicht zu zerstreuen, nachdem er die Schule bereits im Jahr 2019 abgebrochen hat (A19/14, F18) und der Ausweis gemäss</w:t>
      </w:r>
    </w:p>
    <w:p>
      <w:r>
        <w:t>D-1849/2025 Seite 8 eigenen Angaben durch das Erziehungsministerium der Republik Burundi erst im Jahr 2020/2021 ausgestellt worden sei (A16/1). Im Gesamtergebnis entfällt die Prüfung einer allfälligen Asylrelevanz der Vorbringen.</w:t>
      </w:r>
    </w:p>
    <w:p>
      <w:r>
        <w:rPr>
          <w:b/>
        </w:rPr>
        <w:t>E. 6.3</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7.1</w:t>
      </w:r>
    </w:p>
    <w:p>
      <w:r>
        <w:t>Lehnt das SEM das Asylgesuch ab, so verfügt es in der Regel die Weg- 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w:t>
      </w:r>
    </w:p>
    <w:p>
      <w:r>
        <w:rPr>
          <w:b/>
        </w:rPr>
        <w:t>E. 8.2.1</w:t>
      </w:r>
    </w:p>
    <w:p>
      <w:r>
        <w:t>Da der Beschwerdeführer die Flüchtlingseigenschaft nicht erfüllt, ist – wie von der Vorinstanz zutreffend festgehalten – das flüchtlingsrechtliche Rückschiebungsverbot von Art. 33 Abs. 1 des Abkommens vom 28. Juli</w:t>
      </w:r>
    </w:p>
    <w:p>
      <w:r>
        <w:t>D-1849/2025 Seite 9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8.2.2</w:t>
      </w:r>
    </w:p>
    <w:p>
      <w:r>
        <w:t>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Das gelingt ihm nach dem Ge- sagten offenkundig nicht.</w:t>
      </w:r>
    </w:p>
    <w:p>
      <w:r>
        <w:rPr>
          <w:b/>
        </w:rPr>
        <w:t>E. 8.2.3</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D-4328/2024 vom 19. Dezember 2024 E. 9.3.1, m.w.H.).</w:t>
      </w:r>
    </w:p>
    <w:p>
      <w:r>
        <w:rPr>
          <w:b/>
        </w:rPr>
        <w:t>E. 8.3.2</w:t>
      </w:r>
    </w:p>
    <w:p>
      <w:r>
        <w:t>Es sprechen auch keine anderen individuellen Gründe gegen einen Wegweisungsvollzug. Der Beschwerdeführer ist jung und verfügt über eine gute Schulbildung. Eine Arbeitstätigkeit ist ihm zuzumuten. Er hat in Bu- rundi aber auch ein Studium begonnen, das er wiederaufnehmen könnte.</w:t>
      </w:r>
    </w:p>
    <w:p>
      <w:r>
        <w:t>D-1849/2025 Seite 10 Selbst wenn die Mutter zwischenzeitlich weggezogen sein sollte, hat er doch bereits bei seinem Grossvater in Rugombo und seiner Cousine in Ki- gobe gelebt, welche sich um ihn und seinen Lebensbedarf gekümmert ha- ben (A19/14, F22 ff., insbesondere F29 f). Es ist daher in Burundi von einer gesicherten Wohnsituation und von einem soliden sozialen und wirtschaft- lichen Netzwerk auszugehen, das den Beschwerdeführer bei Bedarf unter- stützen kann.</w:t>
      </w:r>
    </w:p>
    <w:p>
      <w:r>
        <w:rPr>
          <w:b/>
        </w:rPr>
        <w:t>E. 8.3.3</w:t>
      </w:r>
    </w:p>
    <w:p>
      <w:r>
        <w:t>Nach dem Gesagten erweist sich der Vollzug der Wegweisung ins- gesamt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 9. Aus diesen Erwägungen ergibt sich, dass die angefochtene Verfügung Bundesrecht nicht verletzt und auch sonst nicht zu beanstanden ist (Art. 106 Abs. 1 AsylG und Art. 49 VwVG). Die Beschwerde ist abzuweisen.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Dezember 1984 gegen Folter und andere grausame, unmenschliche oder erniedrigende Behandlung oder Strafe [FoK, SR 0.105]; Art. 3 EMRK).</w:t>
      </w:r>
    </w:p>
    <w:p>
      <w:r>
        <w:rPr>
          <w:b/>
        </w:rPr>
        <w:t>E. 10.1</w:t>
      </w:r>
    </w:p>
    <w:p>
      <w:r>
        <w:t>Das Gesuch um Erlass des Kostenvorschusses ist mit vorliegendem Direktentscheid gegenstandslos geworden.</w:t>
      </w:r>
    </w:p>
    <w:p>
      <w:r>
        <w:rPr>
          <w:b/>
        </w:rPr>
        <w:t>E. 10.2</w:t>
      </w:r>
    </w:p>
    <w:p>
      <w:r>
        <w:t>Insofern der Beschwerdeführer die Gewährung der unentgeltlichen Prozessführung und amtlichen Rechtsverbeiständung beantragt, ergibt sich aufgrund der vorstehenden Erwägungen die Aussichtslosigkeit seiner Begehren, weshalb die Gesuche abzuweisen sind.</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D-1849/2025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