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D-1848/2022 vom 28. April 2022</w:t>
      </w:r>
    </w:p>
    <w:p>
      <w:r>
        <w:t>Bundesverwaltungsgericht, 2022-04-28, DE</w:t>
      </w:r>
    </w:p>
    <w:p>
      <w:r>
        <w:rPr>
          <w:b/>
        </w:rPr>
        <w:t xml:space="preserve">Quelle: </w:t>
      </w:r>
      <w:r>
        <w:t>https://mcp.opencaselaw.ch/entscheid/bvger_D-1848_2022</w:t>
      </w:r>
    </w:p>
    <w:p>
      <w:r>
        <w:t>FR: TAF D-1848/2022 du 28 avril 2022</w:t>
      </w:r>
    </w:p>
    <w:p>
      <w:r>
        <w:t>IT: TAF D-1848/2022 del 28 aprile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(vgl. die Urteile E-962/2019 vom 17. Dezember 2019 und D-6358/2015 vom 7. April 2016 [als Referenzur- teile publiziert] mit Hinweis auf die bisherige publizierte Praxis des Bundes- verwaltungsgerichts),</w:t>
      </w:r>
    </w:p>
    <w:p>
      <w:r>
        <w:t>D-1848/2022 Seite 6 dass der Beschwerdeführer mit seinem Vorbringen, die Situation für Asyl- suchende sei in Italien schlecht hinsichtlich Betreuung, psychologischer Versorgung, Unterbringung und Schutz vor kriminellen Organisationen, von denen Beschwerdeführer sich bedroht sieht,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 manitären Gründen" auch dann behandeln kann, wenn dafür gemäss Dub- lin-III-VO ein anderer Staat zuständig wäre, dass der Beschwerdeführer kein konkretes und ernsthaftes Risiko darge- 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es keine konkreten oder generellen Hinweise gibt, die das vom Be- schwerdeführer geäusserte Misstrauen in die Schutzwilligkeit oder Schutz- fähigkeit des italienischen Staates stützen, dass sich der Beschwerdeführer auf seinen Gesundheitszustand beruft, der einer Überstellung entgegenstehe, dass der Beschwerdeführer anlässlich des persönlichen Gesprächs ge- mäss Art. 5 Dublin-III-VO vom 21. Februar 2022 ausschliesslich auf Prob- leme mit der Nase und Atembeschwerden hinwies und auf Beschwerde- ebene erstmals vorbringt, an psychischen Problemen zu leiden,</w:t>
      </w:r>
    </w:p>
    <w:p>
      <w:r>
        <w:t>D-1848/2022 Seite 7 dass eine zwangsweise Rückweisung von Personen mit gesundheitlichen Problemen ausnahmsweise einen Verstoss gegen Art. 3 EMRK darstellen kann, wenn die betroffene Person sich in einem fortgeschrittenen oder ter- minalen Krankheitsstadium und bereits in Todesnähe befindet, nach einer Überstellung mit dem sicheren Tod rechnen müsste, dabei keinerlei soziale Unterstützung erwarten könnte (vgl. BVGE 2011/9 E. 7 mit Hinweisen auf die damalige Praxis des Europäischen Gerichtshofs für Menschenrechte [EGMR]), oder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13. Dezember 2016, Grosse Kammer 41738/10, §§ 180–193 m.w.H.), dass der Schweregrad der vom Beschwerdeführer behaupteten Erkran- kungen die vorgenannten Kriterien offenkundig nicht erfüllt, dass es im Übrigen allgemein bekannt ist, dass Italien über eine ausrei- chende medizinische Infrastruktur verfügt,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 dass die schweizerischen Behörden, die mit dem Vollzug der angefochten Verfügung beauftragt sind, den medizinischen Umständen bei der Bestim- mung der konkreten Modalitäten der Überstellung des Beschwerdeführers Rechnung zu tragen und die italienischen Behörden vorgängig in geeigne- ter Weise über die spezifischen medizinischen Umstände informieren zu haben (vgl. Art. 31 f. Dublin-III-VO), dass demnach keine völkerrechtlichen Vollzugshindernisse die Schweiz zum Selbsteintritt verpflichten, dass dem SEM bei der Anwendung von Art. 29a Abs. 3 AsylV 1 Ermessen zukommt (vgl. BVGE 2015/9 E. 7 f.) und den Akten keine Hinweise auf eine</w:t>
      </w:r>
    </w:p>
    <w:p>
      <w:r>
        <w:t>D-1848/2022 Seite 8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des SEM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D-1848/2022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