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D-1848/2011 vom 12. April 2011</w:t>
      </w:r>
    </w:p>
    <w:p>
      <w:r>
        <w:t>Bundesverwaltungsgericht, 2011-04-12, DE</w:t>
      </w:r>
    </w:p>
    <w:p>
      <w:r>
        <w:rPr>
          <w:b/>
        </w:rPr>
        <w:t xml:space="preserve">Quelle: </w:t>
      </w:r>
      <w:r>
        <w:t>https://mcp.opencaselaw.ch/entscheid/bvger_D-1848_2011</w:t>
      </w:r>
    </w:p>
    <w:p>
      <w:r>
        <w:t>FR: TAF D-1848/2011 du 12 avril 2011</w:t>
      </w:r>
    </w:p>
    <w:p>
      <w:r>
        <w:t>IT: TAF D-1848/2011 del 12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Lesbarkeit des Rückscheins nicht fest. Aus den Akten ist ersichtlich, dass die vorinstanzliche Verfügung vom 25. Januar 2011 von der schweizerischen Vertretung in Colombo am 1. Februar 2011 versandt wurde. Die auf den 24. Februar 2011 datierte Eingabe an die schweizerische Botschaft in Colombo wurde am 3. März 2011 dort empfangen, somit ist die Beschwerde rechtzeitig eingegangen.</w:t>
      </w:r>
    </w:p>
    <w:p>
      <w:r>
        <w:rPr>
          <w:b/>
        </w:rPr>
        <w:t>E. 1.5</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 die Beschwerdeführerin von der schweizerischen Ver­tretung in Colombo nicht zu ihren Asylgründen befragt. Sie konnte ihre Vorbringen indessen bereits in ihrem Asylgesuch und in dessen Er­gänzungen schriftlich darlegen und dokumentieren und erhielt danach mit Zwischenverfügungen des BFM vom 20. Februar 2008 und vom 9. Januar 2009 Gelegenheit zur weiteren Konkretisierung ihrer Asylgründe; gleichzeitig wurde ihr auch das rechtliche Gehör im Hinblick auf die in Erwägung gezogene Abweisung des Asylgesuchs gewährt. Das BFM ist daher zutreffend davon ausgegangen, dass der entscheidwesentliche Sachverhalt angesichts der schriftlichen Darlegung und Dokumentierung der Asylgründe soweit erstellt ist, dass die entscheidrelevanten Elemente vorliegen. Das BFM hat den verfahrens­rechtlichen Anforderungen damit Genüge getan.</w:t>
      </w:r>
    </w:p>
    <w:p>
      <w:r>
        <w:rPr>
          <w:b/>
        </w:rPr>
        <w:t>E. 5.1</w:t>
      </w:r>
    </w:p>
    <w:p>
      <w:r>
        <w:t>Das BFM kann ein im Ausland gestelltes Asylgesuch ablehnen, wenn die asylsuchende Person keine Verfolgung glaubhaft machen kann oder ihr die Aufnahme in einem Drittstaat zugemutet werden kann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5.3</w:t>
      </w:r>
    </w:p>
    <w:p>
      <w:r>
        <w:t>Aus nachfolgenden Gründen ist die Einschätzung des BFM in der angefochtenen Verfügung, wonach sich aus den wesentlichen Vorbringen der Beschwerdeführerin, ihr Mann sei entführt worden, sie selber werde deswegen seitdem behelligt und ausserdem würden ihr und ihrer Familie infolgedessen der Lebensunterhalt fehlen, keine asylrelevante Gefährdungssituation der Beschwerdeführerin ergebe, zu bestätigen. Zum einen ist mit der Vorinstanz festzuhalten, dass die Beschwerdeführerin von der Polizei lediglich einige Male befragt wurde, ohne jedoch jemals weitergehenden Massnahmen unterzogen worden zu sein, was auf ein fehlendes Verfolgungsinteresse des srilankischen Staates schliessen lässt. Ferner steht - wie von der Vorinstanz festgehalten - bei solchen Befragungen die allgemeine Bekämpfung der LTTE im Vordergrund, weshalb solchen Massnahmen mangels ausreichender Intensität kein Verfolgungscharakter zukommt. Es bestehen somit keine konkreten Anhaltspunkte für einen begründete Furcht vor künftiger staatlicher Verfolgung. In diesem Zusammenhang ist auf die veränderte allgemeine Situation in Sri Lanka hinzuweisen. Nach Beendigung des Krieges und der endgültigen Niederlage der LTTE ist die Gefahr für die Beschwerdeführerin, erneut der Unterstützung der LTTE verdächtigt zu werden, tendenziell geringer geworden. Indessen haben die srilankischen Behörden die Sicherheitsmassnahmen nicht gelockert. Daher besteht die Möglichkeit, überall und jederzeit von srilankischen Sicherheitspersonal einer minuziösen Personenkontrolle unterzogen und öfters auch für eingehendere Abklärungen auf den Posten mitgenommen oder in ein Armeecamp beordert zu werden. Diesen Massnahmen kommt indes aufgrund mangelnder Intensität kein Verfolgungscharakter im Sinne von Art. 3 AsylG zu.</w:t>
      </w:r>
    </w:p>
    <w:p>
      <w:r>
        <w:rPr>
          <w:b/>
        </w:rPr>
        <w:t>E. 5.4</w:t>
      </w:r>
    </w:p>
    <w:p>
      <w:r>
        <w:t>Zum anderen ist im Zusammenhang mit dem Vorbringen der Beschwerdeführerin, von Unbekannten - es seien wahrscheinlich Sicherheitskräfte gewesen - wegen angeblicher Unterstützung der LTTE zuhause aufgesucht und in diesem Zusammenhang befragt worden zu sein, auf die weiterhin geltende Praxis des Bundesverwaltungsgerichts hinzuweisen, wonach neben der unmittelbaren staatlichen auch die nichtstaatliche Verfolgung grundsätzlich flüchtlingsrechtlich relevant ist. Nach dieser Schutztheorie (vgl. EMARK 2006 Nr. 18) hängt die flüchtlingsrechtliche Relevanz einer Verfolgung nicht von der Frage des Urhebers, sondern vom Vorhandensein eines adäquaten Schutzes durch den Heimatstaat ab (vgl. EMARK 2006 Nr. 18 E. 6.3.1 und 10.2.1). In diesem Sinne kommt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der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welchen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Rechts- und Justizsystem zu denken ist, das eine effektive Strafverfolgung ermöglicht. Im Weiteren muss die Inanspruchnahme eines solchen Schutzsystems der betroffenen Person objektiv zugänglich und individuell zumutbar sein. Mit der Vorinstanz ist festzuhalten, dass von der Schutzfähigkeit des srilankischen Staates auszugehen ist und daher grundsätzlich die Möglichkeit besteht, bei den zuständigen Behörden um Schutz vor Verfolgung seitens Dritter zu ersuchen. Vorliegend ergeben sich aus den Akten keine Anhaltspunkte auf eine grundsätzliche Schutzunwilligkeit des srilankischen Staates, insbesondere stellt die Tatsache allein, auf dem Polizeiposten mehrmals befragt worden zu sein, keinen Hinweis auf eine solche Unwilligkeit dar. Zur Vermeidung von Wiederholungen kann auf die übrigen zutreffenden Erwägungen des BFM verwiesen werden, welche in der Beschwerde, in der im Wesentlichen lediglich die bereits im Rahmen des vorinstanzlichen Verfahrens geltend gemachten Vorbringen wiederholt werden, nicht entkräftet worden sind.</w:t>
      </w:r>
    </w:p>
    <w:p>
      <w:r>
        <w:rPr>
          <w:b/>
        </w:rPr>
        <w:t>E. 5.5</w:t>
      </w:r>
    </w:p>
    <w:p>
      <w:r>
        <w:t>Im Weiteren hat die Beschwerdeführerin weder im vorinstanzlichen Verfahren noch auf Beschwerdeebene eine politische Aktivität ihrerseits geltend gemacht, weshalb mit der Vorinstanz davon auszugehen ist, dass sie über kein verfolgungsrelevantes politisches Profil verfügt. Die subjektive Angst der Beschwerde­füh­rerin vor einer Entführung erscheint zwar (zumindest für den Zeitraum des Bürgerkrieges) vor allem im Hinblick auf die Entführung ihres Mannes als nachvollziehbar; in objektiver Hinsicht verweist das BFM aber zu Recht auf gewisse Verbesserungen der Sicherheitslage seit Ende des Bürgerkriegs. Dass sie und auch ihre Kinder im aktuellen Mo­ment landesweit mit beachtlicher Wahrscheinlichkeit Opfer einer Ent­füh­rung werden könnte, ist somit und wiederum auch in Beachtung des ge­mäss Aktenlage fehlenden po­litischen Profils nicht evident.</w:t>
      </w:r>
    </w:p>
    <w:p>
      <w:r>
        <w:rPr>
          <w:b/>
        </w:rPr>
        <w:t>E. 6</w:t>
      </w:r>
    </w:p>
    <w:p>
      <w:r>
        <w:t>Somit ist es der Beschwerdeführerin nicht gelungen, eine aktuelle Gefährdung im Sinne von Art. 3 AsylG aufzuzeigen, welche die Bewilligung der Ein­reise in die Schweiz rechtfertigen würde. Die Schutzbedürftigkeit der Beschwerdeführerin im Sinne von Art. 20 i.V.m. Art. 3 AsylG ist nicht gegeben. Im Übrigen ist auch eine Beziehungsnähe der Beschwerdeführerin zur Schweiz zu verneinen (Art. 52 Abs. 2 AsylG). Das BFM hat der Beschwerdeführerin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