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D-1848/2010 vom 16. August 2011</w:t>
      </w:r>
    </w:p>
    <w:p>
      <w:r>
        <w:t>Bundesverwaltungsgericht, 2011-08-16, IT</w:t>
      </w:r>
    </w:p>
    <w:p>
      <w:r>
        <w:rPr>
          <w:b/>
        </w:rPr>
        <w:t xml:space="preserve">Quelle: </w:t>
      </w:r>
      <w:r>
        <w:t>https://mcp.opencaselaw.ch/entscheid/bvger_D-1848_2010</w:t>
      </w:r>
    </w:p>
    <w:p>
      <w:r>
        <w:t>FR: TAF D-1848/2010 du 16 août 2011</w:t>
      </w:r>
    </w:p>
    <w:p>
      <w:r>
        <w:t>IT: TAF D-1848/2010 del 16 agosto 2011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In considerazione di quanto precede, il gravame va disatteso e la querelata decisione confermata.</w:t>
      </w:r>
    </w:p>
    <w:p>
      <w:r>
        <w:rPr>
          <w:b/>
        </w:rPr>
        <w:t>E. 8</w:t>
      </w:r>
    </w:p>
    <w:p>
      <w:r>
        <w:t>Visto l'esito della procedura, le spese processuali di CHF 600.-, che seguono la soccombenza, sono poste a carico del ricorrente (art. 63 cpv. 1 e 5 PA nonché art. 3 lett. b del regolamento sulle tasse e sulle spese ripetibili nelle cause dinanzi al Tribunale amministrativo federale del 21 febbraio 2008 [TS-TAF, RS 173.320.2]).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