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D-1845/2024 vom 2. April 2024</w:t>
      </w:r>
    </w:p>
    <w:p>
      <w:r>
        <w:t>Bundesverwaltungsgericht, 2024-04-02, DE</w:t>
      </w:r>
    </w:p>
    <w:p>
      <w:r>
        <w:rPr>
          <w:b/>
        </w:rPr>
        <w:t xml:space="preserve">Quelle: </w:t>
      </w:r>
      <w:r>
        <w:t>https://mcp.opencaselaw.ch/entscheid/bvger_D-1845_2024</w:t>
      </w:r>
    </w:p>
    <w:p>
      <w:r>
        <w:t>FR: TAF D-1845/2024 du 2 avril 2024</w:t>
      </w:r>
    </w:p>
    <w:p>
      <w:r>
        <w:t>IT: TAF D-1845/2024 del 2 aprile 2024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Das Verfahren richtet sich nach dem VwVG, dem VGG und dem BGG, soweit das AsylG nichts ande- res bestimmt (Art. 37 VGG und Art. 6 AsylG).</w:t>
      </w:r>
    </w:p>
    <w:p>
      <w:r>
        <w:rPr>
          <w:b/>
        </w:rPr>
        <w:t>E. 1.2</w:t>
      </w:r>
    </w:p>
    <w:p>
      <w:r>
        <w:t>Die (eigenhändig ausgefüllte Formular-) Beschwerde enthält zwar kei- ne Unterschrift, der Inhalt kann jedoch ohne Weiteres dem Beschwerde- führer zugeordnet werden, zumal das mit der Beschwerde eingereichte Ak- teneinsichtsgesuch vom Beschwerdeführer unterzeichnet und das Schrift- bild vergleichbar ist. Vor dem Hintergrund der angestrebten Verfahrensbe- schleunigung im Asylbereich rechtfertigt es sich daher, von Instruktions- massnahmen abzusehen und auf ein Nachreichen der Unterschrift zu ver- zichten. Der Beschwerdeführer ist zur Einreichung der Beschwerde legiti- miert (Art. 48 Abs. 1 VwVG). Die Beschwerde erweist sich als fristgerecht (Art. 108 Abs. 3 AsylG) und es sind ihr sowohl Rechtsbegehren als auch eine Begründung zu entnehmen (Art. 52 Abs. 1 VwVG). Die Beschwerde ist zwar in Englisch und damit nicht in einer in Verfahren vor den Bundes- behörden zu verwendenden Amtssprache – in der Regel Deutsch, Franzö- sisch oder Italienisch – verfasst (Art. 70 Abs. 1 BV und Art. 33a Abs. 1 VwVG), aus prozessökonomischen Gründen kann aber praxisgemäss auf eine Übersetzung verzichtet werden, da die Beschwerde verständlich ist. Auf die frist- und soweit formgerecht eingereichte Rechtsmitteleingabe (Art. 108 Abs. 3 AsylG und Art. 52 Abs. 1 VwVG) ist somit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1.4</w:t>
      </w:r>
    </w:p>
    <w:p>
      <w:r>
        <w:t>Der Vollständigkeit halber ist festzuhalten, dass sich Weiterungen hin- sichtlich des mit der Beschwerde eingereichten – an das SEM adressierten – Akteneinsichtsgesuchs erübrigen. Das SEM hat dem Beschwerdeführer die editionspflichtigen Akten bereits mit der angefochtenen Verfügung aus- gehändigt (Dispositiv-Ziff. 6).</w:t>
      </w:r>
    </w:p>
    <w:p>
      <w:r>
        <w:rPr>
          <w:b/>
        </w:rPr>
        <w:t>E. 2</w:t>
      </w:r>
    </w:p>
    <w:p>
      <w:r>
        <w:t>Die Kognition des Bundesverwaltungsgerichts und die zulässigen Rügen</w:t>
      </w:r>
    </w:p>
    <w:p>
      <w:r>
        <w:t>D-1845/2024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zur Begründung des Asylentscheids aus, der Be- schwerdeführer habe es unterlassen, die Cousins seines Vaters bei den pakistanischen Behörden wegen der geltend gemachten Bedrohungen und physischen Attacken anzuzeigen. Er habe diesbezüglich ausgesagt, sein Vater sei zwar drei Mal bei der Polizei gewesen und habe versucht, An- zeige zu erstatten, doch die Cousins hätten die Polizisten bestochen, so- dass diese die Anzeige nicht entgegengenommen hätten. Gemäss seinen Ausführungen hätten aber weder er noch sein Vater weitere Versuche un- ternommen, die Cousins anzuzeigen. Er habe auch nicht die Hilfe eines Anwalts/einer Anwältin in Anspruch genommen, um juristisch gegen diese Cousins vorzugehen. Somit sei davon auszugehen, dass er es bisher un-</w:t>
      </w:r>
    </w:p>
    <w:p>
      <w:r>
        <w:t>D-1845/2024 Seite 6 terlassen habe, den Schutz durch seinen Heimatstaat Pakistan genügend einzufordern, geschweige denn auszuschöpfen und dass sein Vater und er sich vielmehr gleich zu seiner Ausreise aus der Heimat entschieden hätten. Der pakistanische Staat sei nach Einschätzung des SEM und der gefestig- ten Rechtsprechung des Bundesverwaltungsgerichts grundsätzlich schutz- willig und schutzfähig, weshalb davon auszugehen sei, dass Übergriffe durch Drittpersonen der Polizei gemeldet werden könnten und der pakista- nische Staat seine Schutzpflicht im Rahmen des Möglichen wahrnehme. Nachdem somit von einem adäquaten Schutz seitens des Heimatstaats auszugehen sei, seien die geltend gemachten Übergriffe flüchtlingsrecht- lich nicht relevant. Der Beschwerdeführer sei damit nicht auf den Schutz der Schweiz angewiesen. Seinen Ausführungen zufolge habe er im Übri- gen eine innerstaatliche Schutzalternative nicht in Betracht gezogen, weil er sein Leben in Pakistan habe aufgeben wollen, es hier in der Schweiz sicher sei und er sich hier eine Zukunft aufbauen könne. Er habe auch un- umwunden zu Protokoll gegeben, dass er in seinem Bereich überall in Pa- kistan Arbeit finden würde, er dies jedoch nicht getan habe. Es sei dem- nach davon auszugehen, dass er sich nicht um eine innerstaatliche Schutz- alternative in seiner Heimat bemüht habe. Da er indessen Nachteile gel- tend mache, welche sich aus lokal oder regional beschränkten Verfol- gungsmassnahmen ableiten würden, hätte er sich diesen durch einen Wegzug in einen anderen Landesteil entziehen können. Folglich sei er auch diesbezüglich nicht auf den Schutz der Schweiz angewiesen. Seine Vorbringen hielten den Anforderungen an die Flüchtlingseigenschaft ge- mäss Art. 3 AsylG nicht stand. Hinsichtlich der in der Stellungnahme vom 18. März 2024 dargelegten Punkte sei auf die Ausführungen in der ange- fochtenen Verfügung unter E. II zu verweisen. Gleichzeitig sei in Bezug auf die geltend gemachten finanziellen Hürden zu ergänzen, dass die Familie des Beschwerdeführers durchaus in der Lage gewesen sei, rund drei Milli- onen pakistanische Rupien für seine Ausreise in die Schweiz aufzuwen- den. Es sei mithin davon auszugehen, dass dieses Geld auch für die Fi- nanzierung einer innerstaatlichen Schutzalternative hätte aufgebracht wer- den können. Im Übrigen sei anzumerken, dass seine Familie zum Zeitpunkt des Entscheids weiterhin im gleichen Dorf wie seine Verfolger wohnhaft sei, ohne dass sie – ausser verbalen Drohungen – ernsthafte Nachteile im Sinne von Art. 3 Abs. 2 AsylG habe erdulden müssen.</w:t>
      </w:r>
    </w:p>
    <w:p>
      <w:r>
        <w:rPr>
          <w:b/>
        </w:rPr>
        <w:t>E. 5.2</w:t>
      </w:r>
    </w:p>
    <w:p>
      <w:r>
        <w:t>Der Beschwerdeführer macht in der Beschwerde geltend, er vermute, dass der negative Asylentscheid auf einem Missverständnis des Sachver- halts beruhe. Er werde sowohl von einflussreichen Personen als auch von der pakistanischen Polizei ernsthaft bedroht. In die Schweiz sei er ge-</w:t>
      </w:r>
    </w:p>
    <w:p>
      <w:r>
        <w:t>D-1845/2024 Seite 7 kommen, um sein Leben zu retten. Er bitte um die Möglichkeit, seinen Fall umfassender darzulegen und seine Bedenken zu äussern. Hinsichtlich der Bedrohungen werde er alle Beweise vorlegen. Er sei zuversichtlich, dass eine genauere Überprüfung seiner Situation zu einer Wiedererwägung sei- nes Falles führen werde.</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2008/4 E. 5.2 m.H.).</w:t>
      </w:r>
    </w:p>
    <w:p>
      <w:r>
        <w:rPr>
          <w:b/>
        </w:rPr>
        <w:t>E. 6.2</w:t>
      </w:r>
    </w:p>
    <w:p>
      <w:r>
        <w:t>Das Bundesverwaltungsgericht kommt nach Durchsicht der Akten zum Schluss, dass das SEM zu Recht zur Erkenntnis gelangt ist, die geltend gemachten Verfolgungsvorbringen würden den Anforderungen an die Flüchtlingseigenschaft gemäss Art. 3 AsylG nicht genügen. Die Erwägun- gen geben zu keinen Beanstandungen Anlass und es kann insoweit zur Vermeidung von Wiederholungen auf den Inhalt der angefochtenen Verfü- gung (vgl. dort E. II) verwiesen werden. Den vorinstanzlichen Erwägungen wird in der kurz gehaltenen Beschwerdebegründung nichts Stichhaltiges entgegengesetzt. Aufgrund der Aktenlage darf insbesondere von einem vollständig erstellten Sachverhalt ausgegangen werden. Anders als der Beschwerdeführer meint, bestehen keinerlei Anhaltspunkte für die Notwen- digkeit weiterer Sachverhaltsabklärungen. Er bestätigte am Ende der An- hörung, dass er alles habe sagen können, was er für sein Asylgesuch als wesentlich erachte (vgl. SEM-act. 17, S. 8 F81). Ausserdem ist davon</w:t>
      </w:r>
    </w:p>
    <w:p>
      <w:r>
        <w:t>D-1845/2024 Seite 8 auszugehen, dass er in der Beschwerde umfassendere Ausführungen ge- macht hätte, hätte er dies für notwendig erachtet. Gleiches gilt ebenso für die Einreichung allfälliger Beweismittel zur Untermauerung der geschilder- ten Bedrohungen. Solche reichte er weder im vorinstanzlichen Verfahren noch auf Beschwerdeebene ein, obschon er hierfür ausreichend Gelegen- heit gehabt hätte.</w:t>
      </w:r>
    </w:p>
    <w:p>
      <w:r>
        <w:rPr>
          <w:b/>
        </w:rPr>
        <w:t>E. 6.3</w:t>
      </w:r>
    </w:p>
    <w:p>
      <w:r>
        <w:t>Bei der vom Beschwerdeführer geltend gemachten Bedrohungslage seitens der Cousins seines Vaters handelt es sich um eine Verfolgung durch Drittpersonen. Das Bundesverwaltungsgericht geht nach wie vor da- von aus, dass die pakistanischen Behörden grundsätzlich fähig und willens sind, Schutz vor Verfolgung durch Dritte zu gewähren und eine funktionie- rende Schutzinfrastruktur zur Verfügung zu stellen (vgl. etwa Urteil des BVGer D-1366/2024 vom 20. März 2024 E. 7.2. m.H.). Die Vorinstanz ging zutreffend davon aus, dass der Beschwerdeführer es unterlassen hat, staatlichen Schutz ausreichend einzufordern beziehungsweise auszu- schöpfen. Er und sein Vater haben nicht versucht, etwa mithilfe eines An- walts gegen die geschilderten Bedrohungen vorzugehen oder sich an eine andere Polizeistelle zu wenden (vgl. SEM-act. 17, S. 4/5 F41 ff.), obwohl ihnen dies zuzumuten gewesen wäre. Auch der Umstand, dass sie einen Umzug in einen anderen Landesteil nicht in Betracht gezogen haben, muss dem Beschwerdeführer entgegengehalten werden. Den Akten lassen sich keinerlei Anhaltspunkte dafür entnehmen, dass die staatlichen Behörden ihm grundsätzlich und landesweit keinen Schutz vor drohenden Übergriffen durch die Cousins seines Vaters gewährt hätten. Bei dem in der Stellung- nahme vom 18. März 2024 vertretenen Argument, der pakistanische Staat hätte ihn und seine Familie auch in einer anderen Region nicht schützen können, handelt es sich bloss um eine pauschale Behauptung. Aus dem Hinweis, er werde von der pakistanischen Polizei ernsthaft bedroht, kann er ebenso wenig für sich ableiten, zumal auch diese Bedrohung lediglich behauptet wird. Mit der Vorinstanz ist überdies davon auszugehen, dass das für die Reise in die Schweiz aufgetriebene Geld ebenso für die Finan- zierung einer innerstaatlichen Schutzalternative hätte aufgewendet werden können. Weiter ist der Vollständigkeit halber festzustellen, dass der Vater und der Bruder des Beschwerdeführers, zu denen er Kontakt hat, nach wie vor im Heimatdorf leben, wo im Übrigen auch die Cousins des Vaters woh- nen, mit denen es – abgesehen von Drohungen – keine weiteren Vorfälle gegeben haben soll (vgl. SEM-act. 17, S. 3).</w:t>
      </w:r>
    </w:p>
    <w:p>
      <w:r>
        <w:rPr>
          <w:b/>
        </w:rPr>
        <w:t>E. 6.4</w:t>
      </w:r>
    </w:p>
    <w:p>
      <w:r>
        <w:t>Insgesamt ist die Einschätzung des SEM, dass der Beschwerdeführer in Pakistan adäquaten Schutz vor den dargelegten Verfolgungshandlungen</w:t>
      </w:r>
    </w:p>
    <w:p>
      <w:r>
        <w:t>D-1845/2024 Seite 9 seitens der Cousins seines Vaters hätte erhalten können, zu bestätigen. Die Vorbringen sind flüchtlingsrechtlich nicht relevant, womit es auch nicht erforderlich war, näher auf deren Glaubhaftigkeit wie auch auf die Frage, ob eine Verfolgung aus einem der in Art. 3 Abs. 1 AsylG abschliessend genannten Motive drohe, einzugehen. Die Vorinstanz hat folglich zu Recht die Flüchtlingseigenschaft des Beschwerdeführers im Sinne von Art. 3 AsylG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aus dem Transitbereich des Flug- hafens Zürich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D-1845/2024 Seite 10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Pakistan herrscht nach konstanter Rechtsprechung, trotz teilweise angespannter Lage, keine landesweite Situation allgemeiner Gewalt, wel- che zur Annahme führen müsste, jede dorthin zurückkehrende Person sei mit erheblicher Wahrscheinlichkeit konkret gefährdet. Der Wegweisungs- vollzug ist daher nicht generell unzumutbar (vgl. etwa Urteil D-1366/2024 vom 20. März 2024 E. 9.3.2 m.H.).</w:t>
      </w:r>
    </w:p>
    <w:p>
      <w:r>
        <w:t>D-1845/2024 Seite 11</w:t>
      </w:r>
    </w:p>
    <w:p>
      <w:r>
        <w:rPr>
          <w:b/>
        </w:rPr>
        <w:t>E. 8.3.2</w:t>
      </w:r>
    </w:p>
    <w:p>
      <w:r>
        <w:t>Auch in individueller Hinsicht sind keine Gründe ersichtlich, welche eine Wegweisung als unzumutbar erscheinen liessen. So ist vor dem Hin- tergrund, dass der Beschwerdeführer über einen Schulabschluss und Ar- beitserfahrung verfügt (vgl. SEM-act. 17, S. 5 F53; Befragungsprotokoll, SEM-act. 16, S. 4 Ziff. 1.17.05), davon auszugehen, dass er bei einer Rück- kehr nach Pakistan wiederum eine Arbeit finden wird und auf eigenen Bei- nen stehen kann. Ausserdem dürften ihm seine in der Heimat verbliebenen Familienangehörigen im Bedarfsfall bei der Reintegration behilflich sein. Schliesslich steht auch sein Gesundheitszustand einer Wegweisung ins Heimatland nicht entgegen, zumal er angab, er habe keinerlei gesundheit- liche Beeinträchtigungen und es gehe ihm gut (vgl. SEM-act. 16, S. 9 Ziff. 8.02; SEM-act. 17, S. 2 F6).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Nachdem sich die Rechtsbegehren als aussichtslos erwiesen haben, sind die Gesuche um unentgeltliche Prozessführung und amtliche Verbeistän- dung, ungeachtet der geltend gemachten Bedürftigkeit, abzuweisen.</w:t>
      </w:r>
    </w:p>
    <w:p>
      <w:r>
        <w:rPr>
          <w:b/>
        </w:rPr>
        <w:t>E. 11.1</w:t>
      </w:r>
    </w:p>
    <w:p>
      <w:r>
        <w:t>Bei diesem Ausgang des Verfahrens sind die Kosten dem Beschwer- deführer aufzuerlegen (Art. 63 Abs. 1 VwVG) und auf insgesamt Fr. 750.– festzusetzen (Art. 1–3 des Reglements vom 21. Februar 2008 über die</w:t>
      </w:r>
    </w:p>
    <w:p>
      <w:r>
        <w:t>D-1845/2024 Seite 12 Kosten und Entschädigungen vor dem Bundesverwaltungsgericht [VGKE, SR 173.320.2]).</w:t>
      </w:r>
    </w:p>
    <w:p>
      <w:r>
        <w:rPr>
          <w:b/>
        </w:rPr>
        <w:t>E. 11.2</w:t>
      </w:r>
    </w:p>
    <w:p>
      <w:r>
        <w:t>Mit vorliegendem Urteil ist das Gesuch um Verzicht auf die Erhebung eines Kostenvorschusses gegenstandslos geworden.</w:t>
      </w:r>
    </w:p>
    <w:p>
      <w:r>
        <w:t>(Dispositiv nächste Seite)</w:t>
      </w:r>
    </w:p>
    <w:p>
      <w:r>
        <w:t>D-1845/2024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