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D-1841/2013 vom 30. Mai 2013</w:t>
      </w:r>
    </w:p>
    <w:p>
      <w:r>
        <w:t>Bundesverwaltungsgericht, 2013-05-30, DE</w:t>
      </w:r>
    </w:p>
    <w:p>
      <w:r>
        <w:rPr>
          <w:b/>
        </w:rPr>
        <w:t xml:space="preserve">Quelle: </w:t>
      </w:r>
      <w:r>
        <w:t>https://mcp.opencaselaw.ch/entscheid/bvger_D-1841_2013</w:t>
      </w:r>
    </w:p>
    <w:p>
      <w:r>
        <w:t>FR: TAF D-1841/2013 du 30 mai 2013</w:t>
      </w:r>
    </w:p>
    <w:p>
      <w:r>
        <w:t>IT: TAF D-1841/2013 del 30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und ist durch die angefochtene Verfügung besonders berührt.</w:t>
      </w:r>
    </w:p>
    <w:p>
      <w:r>
        <w:rPr>
          <w:b/>
        </w:rPr>
        <w:t>E. 2</w:t>
      </w:r>
    </w:p>
    <w:p>
      <w:r>
        <w:t>Der Beschwerdeführer wurde mit Verfügung des BFM vom 6. März 2013 in der Schweiz vorläufig aufgenommen (vgl. Dispositivziffern 4-7). In der vorliegend zu behandelnden Beschwerde wurde unter anderem die Aufhebung der Dispositivziffern 1-3 begehrt, verbunden mit der Anord­nung der vorläufigen Aufnahme wegen Unzulässigkeit und nicht nur we­gen Unzumutbarkeit des Wegweisungsvollzugs. Wie mit Zwischenverfü­gung vom 17. April 2013 bereits festgestellt wurde, sind die Wegweisungshindernisse gemäss Art. 44 Abs. 2 AsylG und Art. 83 des Bun­des­gesetzes vom 16. Dezember 2005 über die Ausländerinnen und Ausländer (AuG, SR 142.20) alternativer Natur. Gegen eine allfällige Aufhebung der vorläufigen Aufnahme der (ab- und weggewiesenen) asylsuchenden Person steht wiederum die Beschwerde an das Bundesverwaltungsgericht offen (vgl. Art. 105 AsylG i.V.m. Art. 44 Abs. 2 AsylG), wobei in jenen Verfahren sämtliche Vollzugshindernisse von Am­tes wegen und nach Massgabe der dannzumal herrschenden Verhält­nisse von Neuem zu prüfen sind (vgl. BVGE 2009/51 E. 5.4 m.H.a. Entscheidungen und Mitteilungen der Schweizerischen Asylrekurskommission [EMARK] 2006 Nr. 6 E. 4.2 S. 54 f., EMARK 1997 Nr. 27 S. 205 ff.). Das Rechtsschutzinteresse des Beschwerdebegehrens hinsichtlich der Prüfung individueller Vollzugshindernisse ist folglich im vorliegenden Fall als dahingefallen zu betrachten. Die Verfügung des BFM vom 6. März 2013 ist, soweit sie sich auf den Wegweisungsvollzugs­punkt bezieht, in Rechtskraft erwachsen. Auf entsprechende Ausführun­gen zur Unzulässigkeit des Wegweisungsvollzugs in der Beschwerde­schrift wird deshalb nicht eingegangen. Hinsichtlich des Asyl- und Wegweisungspunkts besitzt der Beschwerdeführer ein schutzwürdiges Interesse an der Aufhebung beziehungsweise Änderung der angefochtenen Verfügung. Er ist daher zur Einreichung der Beschwerde legitimiert (Art. 105 und Art. 108 Abs. 1 AsylG, Art. 48 Abs. 1 sowie Art. 52 VwVG). Auf die Beschwerde ist in diesen Punkten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Bundesverwaltungsgericht ist - in Übereinstimmung mit der Vorinstanz - festzustellen, dass der Beschwerdeführer die Flüchtlingseigenschaft nicht erfüllt und er im Falle einer Rückkehr in den Heimatstaat nicht befürchten muss, dort ernsthafte Nachteile im Sinne von Art. 3 AsylG zu erleiden. Er erfüllt auch die Flücht­lingseigenschaft im Sinne von Art. 54 AsylG wegen subjektiver Nachfluchtgründe nicht. Zur Vermeidung von Wiederholungen wird auf die zutreffenden vorinstanzlichen Erwägungen verwiesen (vgl. Erwägung C. vorstehend). Wie bereits mit Zwischenverfügung vom 17. April 2013 festgehalten wurde, sind der Rechtsmitteleingabe keine stichhaltigen Ent­geg­nungen zu entnehmen, zumal der Beschwerdeführer im Wesentlichen seine bisherigen Vorbringen wiederholt, an deren Glaubhaftigkeit und Asylrelevanz festhält, und insbesondere bestreitet, sich widersprochen zu haben. In diesem Zusammenhang gilt es jedoch zu beachten, dass sich der Beschwerdeführer bezüglich des Verfassers des angeblichen Berichts an die Behörden widersprochen hat und sich seine Vorwürfe gegen den bei der Anhörung anwesenden Dolmetscher als haltlos erwiesen haben (vgl. die ausführlichen Erwägungen in der Zwischenverfügung des Bundesverwaltungsgerichts vom 17. April 2013). Im Übrigen hat der Be­schwerdeführer darauf verzichtet, zu den Erwägungen des BFM in der angefochtenen Verfügung im Zusammen­hang mit seinem geltend gemachten exilpolitischen Engagement Stellung zu nehmen.</w:t>
      </w:r>
    </w:p>
    <w:p>
      <w:r>
        <w:rPr>
          <w:b/>
        </w:rPr>
        <w:t>E. 5.2</w:t>
      </w:r>
    </w:p>
    <w:p>
      <w:r>
        <w:t>Zusammenfassend ist somit festzuhalten, dass es dem Beschwerdeführer nicht gelungen ist, nachzuweisen oder zumindest glaubhaft zu machen, dass er in seiner Heimat ernsthafte Nachteile gemäss Art. 3 AsylG erlitten hat oder solche bei seiner Rückkehr nach Syrien befürchten muss. Die Beschwerdevorbringen und die eingereichten Beweismittel vermögen zu keiner anderen Betrachtungsweise zu führen, weshalb es sich erübrigt, weiter darauf einzugehen. Der Beschwerdeführer erfüllt somit die Voraussetzungen zur Anerkennung der Flüchtlingseigenschaft nicht, weshalb die Vorinstanz das Asylbegehren zur Recht und mit zutreffender Begründung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23. April 2013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