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D-1834/2022 vom 27. April 2022</w:t>
      </w:r>
    </w:p>
    <w:p>
      <w:r>
        <w:t>Bundesverwaltungsgericht, 2022-04-27, DE</w:t>
      </w:r>
    </w:p>
    <w:p>
      <w:r>
        <w:rPr>
          <w:b/>
        </w:rPr>
        <w:t xml:space="preserve">Quelle: </w:t>
      </w:r>
      <w:r>
        <w:t>https://mcp.opencaselaw.ch/entscheid/bvger_D-1834_2022</w:t>
      </w:r>
    </w:p>
    <w:p>
      <w:r>
        <w:t>FR: TAF D-1834/2022 du 27 avril 2022</w:t>
      </w:r>
    </w:p>
    <w:p>
      <w:r>
        <w:t>IT: TAF D-1834/2022 del 27 aprile 2022</w:t>
      </w:r>
    </w:p>
    <w:p>
      <w:pPr>
        <w:pStyle w:val="Heading2"/>
      </w:pPr>
      <w:r>
        <w:t>Regeste</w:t>
      </w:r>
    </w:p>
    <w:p>
      <w:r>
        <w:t>Nichteintreten auf Asylgesuch und Wegweisung (Dublin-Verfahren)</w:t>
      </w:r>
    </w:p>
    <w:p>
      <w:pPr>
        <w:pStyle w:val="Heading2"/>
      </w:pPr>
      <w:r>
        <w:t>Erwägungen</w:t>
      </w:r>
    </w:p>
    <w:p>
      <w:r>
        <w:rPr>
          <w:b/>
        </w:rPr>
        <w:t>E. 26</w:t>
      </w:r>
    </w:p>
    <w:p>
      <w:r>
        <w:t>Juni 2013 zur Festlegung von Normen für die Aufnahme von Personen, die internationalen Schutz beantragen (sog. Aufnahmerichtlinie) ergeben, dass der Beschwerdeführer kein konkretes und ernsthaftes Risiko darge- tan hat, die belgischen Behörden würden sich weigern ihn aufzunehmen und seinen Antrag auf internationalen Schutz unter Einhaltung der Regeln der Verfahrensrichtlinie zu prüfen, dass den Akten auch keine Gründe für die Annahme zu entnehmen sind, Belgien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der Beschwerdeführer mit seinem Vorbringen im Dublin-Gespräch, wonach eine Rückkehr nach Belgien einer Bestrafung gleichkäme, auch keine konkreten Hinweise für die Annahme dargetan hat, Belgien würde ihm dauerhaft die ihm gemäss Aufnahmerichtlinie zustehenden minimalen Lebensbedingungen vorenthalten, und er sich bei einer vorübergehenden Einschränkung im Übrigen nötigenfalls an die belgischen Behörden wen- den und die ihm zustehenden Aufnahmebedingungen auf dem Rechtsweg einfordern könnte (vgl. Art. 26 Aufnahmerichtlinie), dass hinsichtlich seines Gesundheitszustands festzuhalten ist,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w:t>
      </w:r>
    </w:p>
    <w:p>
      <w:r>
        <w:t>D-1834/2022 Seite 12 dass ein Verstoss gegen Art. 3 EMRK gemäss neuerer Praxis des EGMR aber auch vorliegen kann, wenn eine schwer kranke Person durch die Ab- schiebung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im vorliegenden Fall für die Situation des Beschwerdeführers, bei welchem insbesondere eine PTBS diagnostiziert wurde und der an star- ken (ausstrahlenden) (…)schmerzen leidet (vgl. 1127944-20/2, -23/2, -26/2, -29/2, -33/2), nicht zutrifft, dass zwar hinsichtlich seiner Schmerzproblematik offenbar weitere Abklä- rungen angezeigt sind (vgl. 1127944-29/2), der Beschwerdeführer diesbe- züglich allerdings auf Beschwerdeebene nichts vorbrachte und im Übrigen allgemein bekannt ist, dass Belgien über eine ausreichende medizinische Infrastruktur verfügt, dass die Mitgliedstaaten den Antragstellern die erforderliche medizinische Versorgung, die zumindest die Notversorgung und die unbedingt erforder- liche Behandlung von Krankheiten und schweren psychischen Störungen umfasst, zugänglich machen müssen (Art. 19 Abs. 1 Aufnahmerichtlinie), und den Antragstellern mit besonderen Bedürfnissen die erforderliche me- dizinische oder sonstige Hilfe (einschliesslich erforderlichenfalls einer ge- eigneten psychologischen Betreuung) zu gewähren haben (Art. 19 Abs. 2 Aufnahmerichtlinie), dass es dem Beschwerdeführer demnach offensteht, nötigenfalls in Bel- gien medizinische Betreuung in Anspruch zu nehmen, und dort die gege- benenfalls weiteren erforderlichen medizinischen Abklärungen auch mög- lich sind, dass die schweizerischen Behörden, die mit dem Vollzug der angefochten Verfügung beauftragt sind, den medizinischen Umständen bei der Bestim- mung der konkreten Modalitäten der Überstellung des Beschwerdeführers Rechnung tragen und die belgischen Behörden vorgängig in geeigneter Weise über die spezifischen medizinischen Umstände informieren werden (vgl. Art. 31 f. Dublin-III-VO),</w:t>
      </w:r>
    </w:p>
    <w:p>
      <w:r>
        <w:t>D-1834/2022 Seite 13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Belgien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ist und die Verfü- gung des SEM zu bestätigen ist, dass das Beschwerdeverfahren mit vorliegendem Urteil abgeschlossen ist, weshalb sich der Antrag auf Gewährung der aufschiebenden Wirkung wie auch derjenige auf Verzicht auf die Erhebung eines Kostenvorschusses als gegenstandslos erweisen, dass das mit der Beschwerde gestellte Gesuch um Gewährung der unent- geltlichen Prozessführung abzuweisen ist, da die Begehren als aussichtlos zu bezeichnen waren, weshalb die Voraussetzungen von Art. 65 Abs. 1 VwVG nicht erfüllt sind,</w:t>
      </w:r>
    </w:p>
    <w:p>
      <w:r>
        <w:t>D-1834/2022 Seite 14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D-1834/2022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