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D-1834/2011 vom 5. Mai 2011</w:t>
      </w:r>
    </w:p>
    <w:p>
      <w:r>
        <w:t>Bundesverwaltungsgericht, 2011-05-05, DE</w:t>
      </w:r>
    </w:p>
    <w:p>
      <w:r>
        <w:rPr>
          <w:b/>
        </w:rPr>
        <w:t xml:space="preserve">Quelle: </w:t>
      </w:r>
      <w:r>
        <w:t>https://mcp.opencaselaw.ch/entscheid/bvger_D-1834_2011</w:t>
      </w:r>
    </w:p>
    <w:p>
      <w:r>
        <w:t>FR: TAF D-1834/2011 du 5 mai 2011</w:t>
      </w:r>
    </w:p>
    <w:p>
      <w:r>
        <w:t>IT: TAF D-1834/2011 del 5 maggio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Nachdem die Stempel auf dem vom Bundesverwaltungsgericht verlangten und ihm zugesandten Rückschein nicht lesbar sind, ist zugunsten der Beschwerdeführerin davon auszugehen, sie habe die Beschwerde innerhalb der ihr angesetzten Beschwerdefrist eingereicht. Die Beschwerde ist deshalb als frist- und formgerecht eingereicht zu betrachten.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AsylG).</w:t>
      </w:r>
    </w:p>
    <w:p>
      <w:r>
        <w:rPr>
          <w:b/>
        </w:rPr>
        <w:t>E. 5</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einer asylsuchenden Person die Einreise zur Abklärung des Sachverhalts,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 5.2 - E.5.3).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was vorliegend erfolgt ist (vgl. Ziff. D. der Erwägungen). Ausserdem hat das BFM den Verzicht auf eine Befragung zu begründen (vgl. BVGE 2007/30 E.5.6 - 5.7), was vom BFM ebenfalls vorgenommen wurde (vgl. angefochtene Verfügung S. 2 f.).</w:t>
      </w:r>
    </w:p>
    <w:p>
      <w:r>
        <w:rPr>
          <w:b/>
        </w:rPr>
        <w:t>E. 6.1</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vormaligen Schweizerischen Asylrekurskommission [EMARK] 1997 Nr. 15 E. 2.e. - g. S. 131 ff.).</w:t>
      </w:r>
    </w:p>
    <w:p>
      <w:r>
        <w:rPr>
          <w:b/>
        </w:rPr>
        <w:t>E. 6.2</w:t>
      </w:r>
    </w:p>
    <w:p>
      <w:r>
        <w:t>Die Vorbringen in der Rechtsmitteleingabe sind nicht geeignet, eine Änderung der vorinstanzlichen Verfügung zu bewirken. Der Argumentation des BFM werden keine stichhaltigen und substanziierten Gründe entgegengesetzt. Eine diesbezügliche Auseinandersetzung unterbleibt zwar nicht gänzlich, die Ausführungen der Beschwerdeführerin vermögen jedoch die zutreffenden Erwägungen des BFM nicht umzustossen. Für das Bundesverwaltungsgericht besteht somit nach Überprüfung der Akten keine Veranlassung, die Erwägungen des BFM zu beanstanden. Um Wiederholungen zu vermeiden, kann daher auf die zutreffenden Ausführungen in der angefochtenen Verfügung verwiesen werden. Die Beschwerdeführerin macht zwar in ihrer Beschwerde zusätzlich zu den bisherigen Vorbringen geltend, sie sei am 21. Februar 2011 von unbekannten Personen an ihrem Wohnort aufgesucht und bedroht worden, weil man ihr vorgeworfen habe, sie sei ein Mitglied der LTTE. Ausserdem brachte sie nachträglich vor, sie werde von den Behörden Sir Lankas ständig verdächtigt. Letztere Vorbringen sind indessen nicht als glaubhaft zu erachten. Die Beschwerdeführerin machte im erstinstanzlichen Verfahren nie geltend, sie habe mit den Behörden ihres Heimatlandes Schwierigkeiten. Somit sind die nachträglich dargelegten Verdächtigungen als nachgeschoben und deshalb als unglaubhaft zu betrachten. Hinsichtlich der vom 21. Februar 2011 vorgebrachten Bedrohungen kann sie - wie das BFM für die im erstinstanzlichen Verfahren dargestellten Nachteile zutreffend feststellte - den Schutz der srilankischen Behörden in Anspruch nehmen. Sie ist somit auch diesbezüglich nicht auf den Schutz der Schweiz angewiesen. Nach dem Gesagten erfüllt die Beschwerdeführerin die Flüchtlingseigenschaft nach Art. 3 AsylG nicht.</w:t>
      </w:r>
    </w:p>
    <w:p>
      <w:r>
        <w:rPr>
          <w:b/>
        </w:rPr>
        <w:t>E. 6.3</w:t>
      </w:r>
    </w:p>
    <w:p>
      <w:r>
        <w:t>Unter diesen Umständen erübrigt es sich, auf die weiteren Vorbringen in der Beschwerde sowie die eingereichten Beweismittel im Einzelnen einzugehen, da sie am Ergebnis nichts zu ändern vermögen. Es ist der Beschwerdeführerin nicht gelungen, eine Verfolgung im Sinne von Art. 3 AsylG nachzuweisen oder zumindest glaubhaft zu machen. Ihre Schutzbedürftigkeit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der Beschwerdeführerin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