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D-1825/2010 vom 7. April 2010</w:t>
      </w:r>
    </w:p>
    <w:p>
      <w:r>
        <w:t>Bundesverwaltungsgericht, 2010-04-07, DE</w:t>
      </w:r>
    </w:p>
    <w:p>
      <w:r>
        <w:rPr>
          <w:b/>
        </w:rPr>
        <w:t xml:space="preserve">Quelle: </w:t>
      </w:r>
      <w:r>
        <w:t>https://mcp.opencaselaw.ch/entscheid/bvger_D-1825_2010</w:t>
      </w:r>
    </w:p>
    <w:p>
      <w:r>
        <w:t>FR: TAF D-1825/2010 du 7 avril 2010</w:t>
      </w:r>
    </w:p>
    <w:p>
      <w:r>
        <w:t>IT: TAF D-1825/2010 del 7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w:t>
      </w:r>
    </w:p>
    <w:p>
      <w:r>
        <w:t>Wie sich aus den Akten ergibt, berücksichtigte das BFM beim Erlass ihrer Verfügung vom 15. März 2010 die vom Bundesverwaltungsgericht geübte Kritik an der früheren Vorgehensweise der Vorinstanz (vgl. das zur Publikation vorgesehene Urteil BVGE E-5841/2009). Ausserdem verfügte das Bundesverwaltungsgericht nach Eingang der Beschwerde umgehend einen Vollzugsstopp. Es erübrigt sich daher, auf die diesbezüglichen Vorbringen der Beschwerdeschrift weiter einzugehen.</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Gemäss den Akten steht fest, dass der Beschwerdeführer am 6. August 2009 in Ungarn um Asyl ersuchte und daktyloskopiert wurde. Bei dieser Sachlage ist Ungarn für die Prüfung des Asylantrags des Beschwerdeführers zuständig. Die ungarischen Behörden stimmten am 9. Februar 2010 auf der Basis eines Fingerabdruckabgleichs der Übernahme des Beschwerdeführers zu.</w:t>
      </w:r>
    </w:p>
    <w:p>
      <w:r>
        <w:rPr>
          <w:b/>
        </w:rPr>
        <w:t>E. 6.3</w:t>
      </w:r>
    </w:p>
    <w:p>
      <w:r>
        <w:t>Der Beschwerdeführer kann somit ohne Weiteres in den Dublin-Staat (Ungarn) ausreisen, welcher für die Prüfung seines Asylantrags staatsvertraglich zuständig ist. Es bestehen keine Hinweise darauf, dass Ungarn sich nicht an die massgebenden völkerrechtlichen Bestimmungen, insbesondere an das Refoulementverbot oder die einschlägigen Normen der EMRK halten würde. Da in Ungarn rechtsstaatliche Verhältnisse herrschen, obliegt es dem Beschwerdeführer, die Anwendung dieser Normen in Ungarn nötigenfalls auf dem Rechtsweg durchzusetzen. Da es im vorliegenden Verfahren lediglich darum geht, die Voraussetzungen einer Rückführung nach Ungarn im Rahmen der Dublin II VO zu prüfen, ist auf die Vorbringen in Bezug auf die Situation in Afghanistan nicht einzugehen.</w:t>
      </w:r>
    </w:p>
    <w:p>
      <w:r>
        <w:rPr>
          <w:b/>
        </w:rPr>
        <w:t>E. 6.4</w:t>
      </w:r>
    </w:p>
    <w:p>
      <w:r>
        <w:t>Der Beschwerdeführer bestreitet nicht, dass gemäss den Kriterien der Dublin II VO Ungarn für die Durchführung des Asylverfahrens zuständig ist. Indessen wird in der Beschwerdeschrift die Auffassung vertreten, das BFM habe das Selbsteintrittsrecht im Sinne von Art. 3 Abs. 2 Dublin II VO auszuüben, weil der Beschwerdeführer minderjährig sei und somit zu einer besonders verletzlichen Gruppe gehöre. Indessen ist die geltend gemachte Minderjährigkeit des Beschwerdeführers entgegen den Ausführungen in der Beschwerdeschrift nicht nachgewiesen, weil Fotokopien von Identitätskarten keinerlei Beweiswert haben (vgl. auch BVGE 2007 Nr. 7). Dementsprechend erübrigen sich an dieser Stelle weitere Ausführungen zum Kindeswohl, und es gibt keinen Anlass, aufgrund der angeblichen Minderjährigkeit des Beschwerdeführers das Selbsteintrittsrecht im Sinne von Art. 3 Abs. 2 Dublin II VO auszuüben. Dies umso weniger, als Ungarn das Übereinkommen über die Rechte des Kindes mehrere Jahre vor der Schweiz ratifizierte und in Kraft setzte sowie allfällige Kinderbelange respektieren würde. Im Übrigen gibt es keinen Anlass, den Beschwerdeführer aus hygienischen Gründen nicht nach Ungarn wegzuweisen, ist es ihm doch ohne weiteres zuzumuten, durch eigene Mühewaltung etwas zur Verbesserung der hygienischen Verhältnisse in der Unterkunft beizutragen. Der Vollzug der Wegweisung nach Ungarn erweist sich in Berücksichtigung sozialer Aspekte unter dem Aspekt von Art. 3 EMRK somit als zulässig, weshalb kein Anlass zum Selbsteintritt besteht.</w:t>
      </w:r>
    </w:p>
    <w:p>
      <w:r>
        <w:rPr>
          <w:b/>
        </w:rPr>
        <w:t>E. 7</w:t>
      </w:r>
    </w:p>
    <w:p>
      <w:r>
        <w:t>Das BFM ist in Anwendung von Art. 34 Abs. 2 Bst. d AsylG demnach zu Recht auf das Asylgesuch des Beschwerdeführers nicht eingetreten, weshalb es sich erübrigt, auf die weiteren Ausführungen in der Beschwerdeschrift einzugehen. Die Anträge, die vorinstanzliche Verfügung sei aufzuheben, das BFM sei anzuweisen, sein Recht zum Selbsteintritt auszuüben und sich für das vorliegende Asylgesuch für zuständig zu erklären, sind somit abzuweisen.</w:t>
      </w:r>
    </w:p>
    <w:p>
      <w:r>
        <w:rPr>
          <w:b/>
        </w:rPr>
        <w:t>E. 8.1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8.2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VO).</w:t>
      </w:r>
    </w:p>
    <w:p>
      <w:r>
        <w:rPr>
          <w:b/>
        </w:rPr>
        <w:t>E. 8.3</w:t>
      </w:r>
    </w:p>
    <w:p>
      <w:r>
        <w:t>Nach dem Gesagten sind die vom BFM verfügte Wegweisung und deren Vollzug zu bestätigen.</w:t>
      </w:r>
    </w:p>
    <w:p>
      <w:r>
        <w:rPr>
          <w:b/>
        </w:rPr>
        <w:t>E. 9</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10</w:t>
      </w:r>
    </w:p>
    <w:p>
      <w:r>
        <w:t>Mit dem Urteil in der Hauptsache ist das Gesuch um Verzicht auf die Erhebung eines Kostenvorschusses gegenstandslos geworden.</w:t>
      </w:r>
    </w:p>
    <w:p>
      <w:r>
        <w:rPr>
          <w:b/>
        </w:rPr>
        <w:t>E. 11</w:t>
      </w:r>
    </w:p>
    <w:p>
      <w:r>
        <w:t>Aufgrund vorstehender Erwägungen erweist sich die Beschwerde als aussichtslos, weshalb das Gesuch um Gewährung der unentgeltlichen Rechtspflege im Sinne von Art. 65 Abs. 1 und 2 VwVG abzuweisen ist. 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