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D-1812/2024 vom 2. April 2024</w:t>
      </w:r>
    </w:p>
    <w:p>
      <w:r>
        <w:t>Bundesverwaltungsgericht, 2024-04-02, DE</w:t>
      </w:r>
    </w:p>
    <w:p>
      <w:r>
        <w:rPr>
          <w:b/>
        </w:rPr>
        <w:t xml:space="preserve">Quelle: </w:t>
      </w:r>
      <w:r>
        <w:t>https://mcp.opencaselaw.ch/entscheid/bvger_D-1812_2024</w:t>
      </w:r>
    </w:p>
    <w:p>
      <w:r>
        <w:t>FR: TAF D-1812/2024 du 2 avril 2024</w:t>
      </w:r>
    </w:p>
    <w:p>
      <w:r>
        <w:t>IT: TAF D-1812/2024 del 2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 wurde frist- und formgerecht eingereicht (Art. 108 Abs. 3 AsylG; Art. 52 Abs. 1 VwVG), womit auf die Beschwerde einzutreten ist.</w:t>
      </w:r>
    </w:p>
    <w:p>
      <w:r>
        <w:rPr>
          <w:b/>
        </w:rPr>
        <w:t>E. 1.4</w:t>
      </w:r>
    </w:p>
    <w:p>
      <w:r>
        <w:t>Die Beschwerde erweist sich indes – wie nachfolgend aufgezeigt – als offensichtlich unbegründet, weshalb über diese im Verfahren einzelrichter- licher Zuständigkeit mit Zustimmung eines zweiten Richters oder einer zweiten Richterin, mit summarischer Begründung und praxisgemäss ohne Durchführung eines Schriftenwechsels zu entscheiden ist (vgl. Art. 111 Bst. e sowie Art. 111a Abs. 1 und 2 AsylG).</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 Recht auf das Asylgesuch nicht eingetreten ist (vgl. BVGE 2011/30 E. 3 und 2011/9 E. 5; BVGE 2017 VI/5 E. 3.1 m.w.H.).</w:t>
      </w:r>
    </w:p>
    <w:p>
      <w:r>
        <w:rPr>
          <w:b/>
        </w:rPr>
        <w:t>E. 3.1</w:t>
      </w:r>
    </w:p>
    <w:p>
      <w:r>
        <w:t>Vom Beschwerdeführer wird im Sinne eines Eventualbegehrens die Rückweisung der Sache an die Vorinstanz beantragt, weil das SEM den Sachverhalt nicht rechtsgenüglich erstellt habe und seiner Abklärungs- pflicht nicht nachgekommen sei. Das Begehren ist jedoch als unbegründet zu erkennen, da aufgrund der Aktenlage – wie insbesondere auch nachfol- gend aufgezeigt – kein weiterer Abklärungsbedarf ersichtlich ist, und zwar weder betreffend den angeblich achtmonatigen Aufenthalt des Beschwerde-</w:t>
      </w:r>
    </w:p>
    <w:p>
      <w:r>
        <w:t>D-1812/2024 Seite 6 führers in der Türkei (vgl. nachfolgend, E. 5.2) noch betreffend die von ihm angerufene Beziehung zu seinen in der Schweiz lebenden Angehörigen (vgl. nachfolgend, E. 5.3). Es ist vor diesem Hintergrund auch keine Frist zum Nachreichen von weiteren Beweismitteln einzuräumen respektive das entsprechende Fristbegehren ist im Sinne einer antizipierten Beweiswürdi- gung (Art. 33 Abs. 1 VwVG) abzuweisen.</w:t>
      </w:r>
    </w:p>
    <w:p>
      <w:r>
        <w:rPr>
          <w:b/>
        </w:rPr>
        <w:t>E. 3.2</w:t>
      </w:r>
    </w:p>
    <w:p>
      <w:r>
        <w:t>Die beantragte Rückweisung der Sache zur weiteren Sachverhaltsab- klärung fällt nach dem Gesagten ausser Betracht, womit das Gericht in der Hauptsache zu entscheiden hat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 und damit in der Konstellation wie vorliegend – findet grundsätzlich keine (neue) Zu- ständigkeitsprüfung nach Kapitel III Dublin-III-VO mehr statt (vgl. zum Gan- zen BVGE 2017 VI/5 E. 6.2 und 8.2.1). Die Zuständigkeit beziehungsweise die Verpflichtung des Mitgliedstaates zur Wiederaufnahme ergibt sich hier direkt aus Art. 18 Abs. 1 Bst. b–d Dublin-III-VO.</w:t>
      </w:r>
    </w:p>
    <w:p>
      <w:r>
        <w:rPr>
          <w:b/>
        </w:rPr>
        <w:t>E. 4.3</w:t>
      </w:r>
    </w:p>
    <w:p>
      <w:r>
        <w:t>Eine von den vorgenannten Regeln abweichende Bestimmung des zu- ständigen Staates kann sich ergeben, wenn das Asylverfahren und die Auf- nahmebedingungen für Antragsteller im an sich zuständigen Staat syste- mische Schwachstellen aufweisen (vgl. Art. 3 Abs. 2 Satz 2 und 3 Dublin- III-VO). Auf weitere Erwägungen zu diesem Aspekt kann verzichtet werden, da vorliegend eine Überstellung nach Schweden zu prüfen ist und dieser Staat gemäss ständiger Praxis keine solchen Schwachstellen aufweist.</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w:t>
      </w:r>
    </w:p>
    <w:p>
      <w:r>
        <w:t>D-1812/2024 Seite 7 Prüfung zuständig ist (Art. 17 Abs. 1 Satz 1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 raum zu (vgl. BVGE 2015/9 E. 8.2.2). Liegen hingegen individuelle völker- rechtliche Überstellungshindernisse vor, ist der Selbsteintritt zwingend (vgl. BVGE 2015/9 E. 8.2.1 und 2011/9 E. 4.1 m.w.H.).</w:t>
      </w:r>
    </w:p>
    <w:p>
      <w:r>
        <w:rPr>
          <w:b/>
        </w:rPr>
        <w:t>E. 5.1</w:t>
      </w:r>
    </w:p>
    <w:p>
      <w:r>
        <w:t>Das SEM hat am 4. März 2024 sein an Schweden gerichtetes Wieder- aufnahmeersuchen auf Art. 18 Abs. 1 Bst. d Dublin-III-VO gestützt. Das Er- suchen wurde vom SEM im Rahmen der Remonstration vom 12. März 2024 nochmals näher begründet. Dabei hat das SEM ausdrücklich ausge- wiesen, dass vom Beschwerdeführer unter Vorlage von zwei Beweismitteln geltend gemacht worden sei, er sei nicht von Schweden in die Schweiz eingereist, sondern angeblich aus der Türkei kommend, wo er sich seinen Angaben zufolge während acht Monaten aufgehalten habe. Schweden hat sich demnach am 14. März 2024 in voller Kenntnis der Aktenlage zur Wie- deraufnahme des Beschwerdeführers nach der vom SEM angerufenen Be- stimmung bereit erklärt. Damit ist die Grundlage für einen Nichteintretens- entscheid in Anwendung von Art. 31a Abs. 1 Bst. b AsylG und Anordnung der Wegweisung nach Schweden grundsätzlich gegeben.</w:t>
      </w:r>
    </w:p>
    <w:p>
      <w:r>
        <w:rPr>
          <w:b/>
        </w:rPr>
        <w:t>E. 5.2</w:t>
      </w:r>
    </w:p>
    <w:p>
      <w:r>
        <w:t>Der Beschwerdeführer wendet dagegen ein, die Zuständigkeit von Schweden sei gemäss Art. 19 Abs. 2 Dublin-III-VO erloschen, da er sich während zirka acht Monaten in der Türkei und damit mehr als drei Monate ausserhalb des Hoheitsgebietes der Dublin-Vertragsstaaten aufgehalten habe. Das Vorbringen über den angeblich achtmonatigen Aufenthalt in der Türkei überzeugt jedoch – wie vom SEM zu Recht erkannt – nicht. Es kann in dieser Hinsicht vollumfänglich auf die vorinstanzlichen Feststellungen und Schlüsse verwiesen werden (Art. 111a Abs. 2 AsylG), welchen der Be- schwerdeführer nichts Substanzielles entgegenzusetzen vermag. Es ist auch unter Berücksichtigung seiner Beschwerdevorbringen festzustellen, dass seine Ausführungen über seine angebliche Reise in die Türkei, seinen angeblich achtmonatigen Aufenthalt in diesem Land und seine angebliche Reise von dort über Italien in die Schweiz nicht im Mindesten substanziiert sind und er auch kein Beweismittel vorgelegt hat, welchem hinreichende Beweiskraft zukommen würde und welches trotz der mangelhaften</w:t>
      </w:r>
    </w:p>
    <w:p>
      <w:r>
        <w:t>D-1812/2024 Seite 8 Angaben des Beschwerdeführers ernsthaft für einen persönlichen Aufent- halt in der Türkei sprechen könnte. Aufgrund der Substanzlosigkeit der bis- herigen Angaben ist auch nicht die verlangte Frist zur Vorlage von angeb- lich noch weiteren Beweismitteln einzuräumen (vgl. dazu auch oben, E. 3.1). Da nach dem Gesagten der geltend gemachte Aufenthalt von mehr als drei Monaten ausserhalb des Hoheitsgebietes der Dublin-Vertragsstaa- ten weder belegt noch zumindest glaubhaft gemacht ist, ist dem vorge- nannten Beschwerdevorbringen die Grundlage entzogen.</w:t>
      </w:r>
    </w:p>
    <w:p>
      <w:r>
        <w:rPr>
          <w:b/>
        </w:rPr>
        <w:t>E. 5.3</w:t>
      </w:r>
    </w:p>
    <w:p>
      <w:r>
        <w:t>Der Beschwerdeführer beruft sich im Weiteren sinngemäss darauf, er stehe in einem psychischen Abhängigkeitsverhältnis zu seinen hier leben- den Angehörigen, also seiner Mutter und seinen jüngeren Geschwistern. Aufgrund der Aktenlage spricht jedoch nichts dafür, dass er tatsächlich in einem besonderen Abhängigkeitsverhältnis zu seinen Angehörigen im Sinne der Bestimmung von Art. 16 Abs. 1 Dublin-III-VO stehen würde. Beim Beschwerdeführer handelt es sich um einen erwachsenen Mann, welcher offenkundig während der letzten Jahre vollständig unabhängig von seinen Angehörigen in Schweden gelebt hat. Von einem rechtlich relevan- ten Abhängigkeitsverhältnis, das auch in einem Wiederaufnahmeverfahren zu beachten wäre (BVGE 2017 VI/5 E. 8.3.2), ist daher nicht auszugehen, zumal auch nichts dafür spricht, dass der Beschwerdeführer einer unmit- telbaren und wichtigen Unterstützung bedürfen würde, welche nur von sei- nem hier lebenden Angehörigen geleistet werden kann (BVGE 2017 VI/5 E. 8.3.5).</w:t>
      </w:r>
    </w:p>
    <w:p>
      <w:r>
        <w:rPr>
          <w:b/>
        </w:rPr>
        <w:t>E. 5.4</w:t>
      </w:r>
    </w:p>
    <w:p>
      <w:r>
        <w:t>Der Beschwerdeführer verlangt schliesslich eine Anwendung der Er- messensklausel nach Art. 17 Abs. 1 Satz 1 Dublin-III-VO, da ihm im Falle einer Wegweisung nach Schweden angeblich reell eine Abschiebung nach Afghanistan drohe, wo er eine mit Art. 3 EMRK unvereinbare Behandlung zu gewärtigen habe. Das Vorbringen kann allerdings schon deshalb nicht überzeugen, weil Schweden in seiner Erklärung vom 14. März 2024 aus- drücklich ausgewiesen hat, dass im Falle des Beschwerdeführers am 26. März 2023 der Beschluss zur Abschiebung nach Afghanistan sistiert worden sei.</w:t>
      </w:r>
    </w:p>
    <w:p>
      <w:r>
        <w:rPr>
          <w:b/>
        </w:rPr>
        <w:t>E. 5.5</w:t>
      </w:r>
    </w:p>
    <w:p>
      <w:r>
        <w:t>Aufgrund der Aktenlage sind schliesslich auch keine anderen Gründe ersichtlich, welche für eine zwingende Anwendung der Ermessensklausel nach Art. 17 Abs. 1 Satz 1 Dublin-III-VO sprechen würden. Schweden ist Signatarstaat der EMRK (SR 0.101) und der Flüchtlingskonvention (FK, SR 0.142.30) sowie des Zusatzprotokolls der FK (SR 0.142.301), wobei Schweden nach Auffassung der Schweiz seinen diesbezüglichen völkerrecht-</w:t>
      </w:r>
    </w:p>
    <w:p>
      <w:r>
        <w:t>D-1812/2024 Seite 9 lichen Verpflichtungen nachkommt. Es bestehen auch keine Zweifel daran, dass Schweden die Rechte anerkennt und schützt, die sich für den Be- schwerdeführer aus der sog. Rückführungsrichtlinie (2008/115/EG) erge- ben. Es darf zudem davon ausgegangen werden, dass der Beschwerde- führer auch in der Lage ist, seine Rechte in Schweden vollumfänglich wahr- zunehmen, da er nach seinem jahrelangen Aufenthalt in diesem Land mit den dortigen Verhältnissen und Abläufen sehr gut vertraut sein dürfte.</w:t>
      </w:r>
    </w:p>
    <w:p>
      <w:r>
        <w:rPr>
          <w:b/>
        </w:rPr>
        <w:t>E. 5.6</w:t>
      </w:r>
    </w:p>
    <w:p>
      <w:r>
        <w:t>Das SEM hat schliesslich die Vorbringen des Beschwerdeführers im Rahmen seines Ermessens auch genügend unter dem Aspekt der huma- nitären Gründe nach Art. 29a Abs. 3 AsylV 1 gewürdigt. Da die diesbezüg- liche Auseinandersetzung der Vorinstanz als hinreichend erscheint, hält die angefochtene Verfügung auch unter dieser Optik einer Prüfung stand (vgl. dazu BVGE 2015/9).</w:t>
      </w:r>
    </w:p>
    <w:p>
      <w:r>
        <w:rPr>
          <w:b/>
        </w:rPr>
        <w:t>E. 5.7</w:t>
      </w:r>
    </w:p>
    <w:p>
      <w:r>
        <w:t>Diesen Erwägungen gemäss ist der Nichteintretensentscheid in An- wendung von Art. 31a Abs. 1 Bst. b AsylG mit Anordnung der Wegweisung nach Schweden zu Recht ergangen.</w:t>
      </w:r>
    </w:p>
    <w:p>
      <w:r>
        <w:rPr>
          <w:b/>
        </w:rPr>
        <w:t>E. 6</w:t>
      </w:r>
    </w:p>
    <w:p>
      <w:r>
        <w:t>Nach dem Gesagten ist die angefochtene Verfügung zu bestätigen und die Beschwerde als offensichtlich unbegründet abzuweisen.</w:t>
      </w:r>
    </w:p>
    <w:p>
      <w:r>
        <w:rPr>
          <w:b/>
        </w:rPr>
        <w:t>E. 7</w:t>
      </w:r>
    </w:p>
    <w:p>
      <w:r>
        <w:t>Mit vorliegendem Urteil in der Hauptsache sind die Gesuche um Gewäh- rung der aufschiebenden Wirkung (nach Art. 107a Abs. 2 AsylG), inklusive Anordnung vorsorglicher Massnahmen (Art. 56 VwVG), sowie um Befrei- ung von der Kostenvorschusspflicht (gemäss Art. 63 Abs. 4 VwVG) gegen- standslos geworden.</w:t>
      </w:r>
    </w:p>
    <w:p>
      <w:r>
        <w:rPr>
          <w:b/>
        </w:rPr>
        <w:t>E. 8.1</w:t>
      </w:r>
    </w:p>
    <w:p>
      <w:r>
        <w:t>Das Gesuch um Gewährung der unentgeltlichen Rechtspflege respek- tive Prozessführung (im Sinne von Art. 65 Abs. 1 VwVG) ist abzuweisen, da sich die Beschwerde nach dem Gesagten als von Anfang an aussichts- los erwiesen hat. Dem Beschwerdeführer sind demnach die Kosten des Verfahrens, welche auf Fr. 750.– zu bestimmen sind, aufzuerlegen (Art. 63 Abs. 1 VwVG; Art. 1–3 des Reglements vom 21. Februar 2008 über die Kosten und Ent- schädigungen vor dem Bundesverwaltungsgericht [VGKE, SR 173.320.2]). (Dispositiv nächste Seite)</w:t>
      </w:r>
    </w:p>
    <w:p>
      <w:r>
        <w:t>D-1812/2024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