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D-1812/2012 vom 10. April 2013</w:t>
      </w:r>
    </w:p>
    <w:p>
      <w:r>
        <w:t>Bundesverwaltungsgericht, 2013-04-10, DE</w:t>
      </w:r>
    </w:p>
    <w:p>
      <w:r>
        <w:rPr>
          <w:b/>
        </w:rPr>
        <w:t xml:space="preserve">Quelle: </w:t>
      </w:r>
      <w:r>
        <w:t>https://mcp.opencaselaw.ch/entscheid/bvger_D-1812_2012</w:t>
      </w:r>
    </w:p>
    <w:p>
      <w:r>
        <w:t>FR: TAF D-1812/2012 du 10 avril 2013</w:t>
      </w:r>
    </w:p>
    <w:p>
      <w:r>
        <w:t>IT: TAF D-1812/2012 del 10 aprile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hat in ausführlichen Erwägungen dargelegt, weshalb sie die Verfolgung der Beschwerdeführerin für unglaubhaft erach­tet. Da­bei ging sie detailliert auf die einzelnen Verfolgungsvorbringen ein und kam nach deren Prüfung zum Schluss, sie genügten den Anforderun­gen von Art. 7 AsylG nicht. Diese Einschätzung ist gemäss nachfolgen­den Erwä­gungen zu bestätigen. In der Beschwerde wird auf die Möglichkeit ei­ner Überprüfung der Fluchtgründe im Rahmen einer Botschaftsabklä­rung hingewiesen. Eine solche Abklärung des Sachverhalts erüb­rigte sich nach dem Gesagten für die Vorinstanz; auch im heutigen Zeitpunkt besteht gestützt auf die Aktenlage kein Anlass, Abklärungen vor Ort zu veranlassen.</w:t>
      </w:r>
    </w:p>
    <w:p>
      <w:r>
        <w:rPr>
          <w:b/>
        </w:rPr>
        <w:t>E. 4.2</w:t>
      </w:r>
    </w:p>
    <w:p>
      <w:r>
        <w:t>Die Beschwerdeführerin räumt ein, im ersten Asylverfahren nicht die Wahrheit gesagt zu haben. Ihre Motive seien offensichtlich asyltaktischer Natur gewesen. Soweit sie dadurch eine Entfernungsmassnahme aus der Schweiz zu verhindern versuchte, kann ihr Vorgehen aus subjektiver Sicht allen­falls nachvollzogen werden. Dies ändert jedoch nichts daran, dass ein solches taktisches Vorgehen im ersten Asylverfahren die Glaubwürdigkeit der Beschwerdeführerin insgesamt zweifelhaft und auch ihre jetzigen - angeblich wahren - Fluchtgründe be­reits im Ansatz fragwürdig erscheinen lässt.</w:t>
      </w:r>
    </w:p>
    <w:p>
      <w:r>
        <w:rPr>
          <w:b/>
        </w:rPr>
        <w:t>E. 4.3</w:t>
      </w:r>
    </w:p>
    <w:p>
      <w:r>
        <w:t>Diese Zweifel auszuräumen gelingt der Beschwerdeführerin nicht, sie werden vielmehr durch verschiedene Unglaubhaftigkeitselemente bestätigt. So weist die Vorinstanz zurecht darauf hin, dass die Beschwerdeführerin nur marginal über Belange der ONEG und der Funktion ihres Partners Aus­kunft zu geben in der Lage war (B 10/21 Antwort 73). Da aber das dama­lige Engagement ihres Partners verbunden mit der von ihr geltend ge­machten Reflexverfolgung fluchtauslösend gewesen sein soll, hät­ten von ihr bei tatsächlich vorhandener Verfolgungssituation in der Tat zu­mindest ansatzweise substanziierte Darlegungen in diesem Zusammen­hang erwartet werden können. Entgegen den Beschwerdevorbringen kann dieses Unvermögen nicht mit ihrer allfällig bescheidenen bildungsmäs­sigen oder sozialen Stellung erklärt werden. Vielmehr ist da­von auszugehen, dass erneut ein Sachverhaltskonstrukt vorliegt. Diese Ein­schätzung wird durch die wiederholt stereotypen Angaben zu weiteren Sachverhaltselementen bestätigt. Zwar ist im Sinne der Beschwerdevorbrin­gen aufgrund des Zeitablaufs davon auszugehen, dass gewisse Einzelheiten in den Schilderungen, welche vom BFM für reali­tätsfremd oder ungereimt erachtet wurden, für sich alleine besehen keine entscheidende Bedeutung für die Feststellung der Unglaubhaftig­keit der Kernvorbringen zukommt. Demgegenüber fällt auf, dass bereits ihre Angaben zum aktuellen Aufenthalt des Partners eher ausweichend wir­ken (B 10/21 Antworten 46 ff.). Dessen Festnahme vermochte sie nicht substanziiert darzulegen; auch ihre angeblichen Bestrebungen, zu ihm ins Gefängnis beziehungsweise auf den Polizeiposten zu gelangen, wir­ken in der geschilderten Form nicht wie diejenigen einer tatsächlich betroffe­nen Person (B 10/21 Antworten 97 ff.). In der Beschwerde wird zwar auf eine Traumatisierung hingewiesen. Dazu ist festzuhalten, dass im die Beschwerdeführerin betreffenden Arztbericht vom 20. Oktober 2009, welcher im ersten Asylverfahren eingereicht wurde, zwar eine Angst­störung mit Depression, nicht aber eine eigentliche Traumatisierung erwähnt respek­tive diagnostiziert wurde. Im damaligen Urteil des Bundes­verwaltungsgerichts vom 29. März 2011 wurde ferner erwogen, es falle auf, dass die Beschwerdeführerin die Vergewaltigung bereits zu Beginn der Summarbefragung geltend gemacht habe. Auch danach habe sie die an­geblich erlittene se­xuelle Gewalt wieder spontan erwähnt. Im Verlaufe der Anhörung habe sie in Anbetracht ihres Aussageverhaltens wiederum nicht den Ein­druck vermittelt, sie sei aus psychischen Gründen nicht in der Lage, vom angeb­lich Erlebten zu berichten (vgl. E. 4.2 des Urteils). Vor diesem Hintergrund kann das Beschwerdeargument, sie sei aus psychi­schen Gründen im Aussageverhalten beeinträchtigt, nicht gefolgt wer­den, zumal die Umstände der damals geltend gemachte Vergewalti­gung ja ohnehin erfunden gewesen sein sollen. Auch die Schilderungen der Misshandlungen und der Vergewaltigung, welche sie bei der Summarbefragung im Rahmen des zweiten Asylverfahrens noch nicht geltend gemacht hatte, weisen kaum Realkennzeichen auf; ein Um­stand, der nach dem Gesagten mit der psychischen Befindlichkeit der Be­schwerdeführerin nicht hinreichend erklärbar erscheint (B 10/21 Antwor­ten 135 ff.). Im Übrigen gab sie an, die dolmetschende Person sehr gut zu verstehen (B 10/21 Antwort 1), weshalb Übersetzungsprobleme nicht als Ursache für Unstimmigkeiten angesehen werden können. Auffallend ist sodann, dass sie die prekäre Situation als Haushaltshilfe in einer arabischen Familie wesent­lich lebensnaher vorzutragen vermochte. Schliesslich weist das BFM darauf hin, der Beschwerdeführerin wäre bei tat­sächlich unterstellter Nähe zur ONEG nicht eine Vorladung zugestellt wor­den; die Polizei hätte sie stattdessen gleich mitgenommen. Entgegen den nicht stichhaltigen Beschwerdevorbringen vermag auch diese Einschät­zung zu überzeugen. Betreffend die eingereichte polizeiliche Vorla­dung kann vollumfänglich auf die vorinstanzlichen Erwägungen verwie­sen werden; in Anbetracht der Aktenlage ist die Einschätzung des BFM, das Beweismittel sei - so namentlich in Berücksichtigung möglicher Beschaffungsumstände - für die geltend gemachte Verfolgung aus politi­schen Gründen nicht beweistauglich, nicht zu beanstanden. Schliesslich ist das eingereichte Schreiben einer Oromo-Vereinigung vom 6. Juni 2012, soweit es Erlebnisse der Beschwerdeführerin im Heimatland themati­siert, als offensichtliches Gefälligkeitsdokument zu werten. Nach dem Gesagten ist unbesehen der fraglichen Glaubhaftigkeit auch nicht er­sichtlich, inwiefern allfällige behördliche Massnahmen gegen den Vater der Beschwerdeführerin mit ihren sich als unglaubhaft erweisenden Vorbrin­gen in Zusammenhang stehen könnten.</w:t>
      </w:r>
    </w:p>
    <w:p>
      <w:r>
        <w:rPr>
          <w:b/>
        </w:rPr>
        <w:t>E. 4.4</w:t>
      </w:r>
    </w:p>
    <w:p>
      <w:r>
        <w:t>Zusammenfassend ergibt sich, dass die Beschwerdeführerin nicht glaub­haft machen konnte, wegen ONEG-Belangen im Sinne einer Reflex­verfolgung im Heimatland eine asylrelevante Verfolgung erlitten zu haben oder eine solche mit beachtlicher Wahrscheinlichkeit in absehbarere Zu­kunft befürchten zu müssen. Bei dieser Sachlage kann davon abgesehen werden, auf weitere Beschwerdevorbringen einzugehen, weil sie am Ergeb­nis nichts zu ändern vermögen.</w:t>
      </w:r>
    </w:p>
    <w:p>
      <w:r>
        <w:rPr>
          <w:b/>
        </w:rPr>
        <w:t>E. 5.1</w:t>
      </w:r>
    </w:p>
    <w:p>
      <w:r>
        <w:t>Gemäss Praxis hat eine Person, welche sich auf das Vorliegen subjektiver Nachflucht­gründe beruft, begründeten Anlass zur Furcht vor künftiger Ver­folgung, wenn der Heimat- oder Herkunftsstaat mit erheb­licher Wahr­scheinlichkeit von den Aktivitä­ten im Aus­land er­fahren hat und die Per­son deshalb bei einer Rückkehr in flüchtlings­rechtlich relevanter Weise verfol­gen würde. Sub­jektive Nachflucht­gründe begründen zwar die Flüchtlingseigenschaft im Sinn von Art. 3 AsylG, führen je­doch nach Art. 54 AsylG nicht zur Asylgewäh­rung.</w:t>
      </w:r>
    </w:p>
    <w:p>
      <w:r>
        <w:rPr>
          <w:b/>
        </w:rPr>
        <w:t>E. 5.2</w:t>
      </w:r>
    </w:p>
    <w:p>
      <w:r>
        <w:t>Die Beschwerdeführerin war gemäss ihren Angaben an zwei exilpoliti­schen Veranstaltungen in der Schweiz und hat die Teilnahme mit Beweis­mitteln untermauert. Ferner sei sie gemäss eingereichter Bestätigung Mit­glied einer Oromo-Vereinigung in der Schweiz.</w:t>
      </w:r>
    </w:p>
    <w:p>
      <w:r>
        <w:rPr>
          <w:b/>
        </w:rPr>
        <w:t>E. 5.3</w:t>
      </w:r>
    </w:p>
    <w:p>
      <w:r>
        <w:t>Diese Sachverhaltsumstände mögen zutreffen. Im Bestätigungsschrei­ben der Vereinigung werden indes in keiner Weise her­ausragende Aktivitäten erwähnt. Eigene Bezüge der Beschwerdeführe­rin vor der Ausreise zu regierungsfeindlichen Organisatio­nen werden nicht geltend gemacht (B 10/21 Antworten 94 f.). Die einfache Mitgliedschaft bei einer solchen Organisation und die blosse Teilnahme an Protestveranstaltungen sowie andere niederschwellige Aktivi­täten vermögen gemäss Praxis der Asylbehörden im Allgemeinen in­des nicht zur Anerkennung als Flüchtling zu führen. Aufgrund der Aktenlage kann die Beschwerdeführerin mithin be­treffend subjektive Nachflucht­gründe entgegen den Beschwerdevorbringen nichts zu ihren Gunsten ab­lei­ten.</w:t>
      </w:r>
    </w:p>
    <w:p>
      <w:r>
        <w:rPr>
          <w:b/>
        </w:rPr>
        <w:t>E. 6</w:t>
      </w:r>
    </w:p>
    <w:p>
      <w:r>
        <w:t>Unter Berücksichtigung der gesamten Umstände folgt, dass die Be­schwer­deführerin gemäss Art. 54 AsylG keine Gründe nach Art. 3 AsylG nachweisen oder glaub­haft machen kann. Die Flücht­lingseigen­schaft ist auch in diesem Lichte besehen zu verneinen.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Beschwerdeführerin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Die allgemeine Lage in Äthio­pien ist zum heutigen Zeitpunkt je­doch weder von Krieg, noch von Bür­gerkrieg oder von allgemeiner Ge­walt gekennzeichnet, so dass der Voll­zug der Wegweisung dorthin grund­sätzlich als zumutbar erscheint. Es bestehen auch keine anderen Anhalts­punkte, die darauf schliessen lies­sen, bei einer Rückkehr nach Äthio­pien wäre die Beschwerdeführerin ei­ner konkreten Gefährdung im Sinne von Art. 83 Abs. 4 AuG ausgesetzt. Sie hat Kenntnisse mehrerer Sprachen, eine gewisse Schulbildung und ar­beitete als Haushaltshilfe. Im Herkunftsort bestehen soziale Anknüpfungs­punkte im Sinne eines Beziehungsnetzes (B 4/10 S. 4 ff.; B 10/21 Antworten 5 ff.; vgl. auch E. 6.5 im erwähnten Urteil vom 29. März 2011). Entgegen den Beschwerdevorbringen ist somit nicht davon auszuge­hen, sie gerate als alleinstehende zu­rückkehrende Person in eine existenzbedrohende Lage (vgl. BVGE 2011/25 E. 8.4). Nach dem Gesagten erweist sich der Vollzug der Wegweisung auch als zu­mutbar.</w:t>
      </w:r>
    </w:p>
    <w:p>
      <w:r>
        <w:rPr>
          <w:b/>
        </w:rPr>
        <w:t>E. 8.5</w:t>
      </w:r>
    </w:p>
    <w:p>
      <w:r>
        <w:t>Schliesslich obliegt es der Beschwerdeführerin,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8.6</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Beschwerdeverfahrens wären die Verfahrenskos­ten der Beschwerdeführerin aufzuerlegen (Art. 63 Abs. 1 VwVG). Das Bundesverwaltungsgericht hat jedoch das Gesuch um Gewäh­rung der unentgeltlichen Prozessführung im Sinne von Art. 65 Abs. 1 VwVG mit In­struktionsverfügung vom 5. April 2012 gutgeheissen; auf­grund der Akten besteht kein Anlass, auf diesen Entscheid zurückzukom­men.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