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D-1811/2022 vom 14. März 2022</w:t>
      </w:r>
    </w:p>
    <w:p>
      <w:r>
        <w:t>Bundesverwaltungsgericht, 2022-03-14, DE</w:t>
      </w:r>
    </w:p>
    <w:p>
      <w:r>
        <w:rPr>
          <w:b/>
        </w:rPr>
        <w:t xml:space="preserve">Quelle: </w:t>
      </w:r>
      <w:r>
        <w:t>https://mcp.opencaselaw.ch/entscheid/bvger_D-1811_2022_d20220314</w:t>
      </w:r>
    </w:p>
    <w:p>
      <w:r>
        <w:t>FR: TAF D-1811/2022 du 14 mars 2022</w:t>
      </w:r>
    </w:p>
    <w:p>
      <w:r>
        <w:t>IT: TAF D-1811/2022 del 14 marzo 2022</w:t>
      </w:r>
    </w:p>
    <w:p>
      <w:pPr>
        <w:pStyle w:val="Heading2"/>
      </w:pPr>
      <w:r>
        <w:t>Regeste</w:t>
      </w:r>
    </w:p>
    <w:p>
      <w:r>
        <w:t>Asyl (ohne Wegweisungsvollzug) | Asyl (ohne Wegweisungsvollzug); Verfügung des SEM vom 14. März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3.1</w:t>
      </w:r>
    </w:p>
    <w:p>
      <w:r>
        <w:t>In der Beschwerde wird die Verletzung des rechtlichen Gehörs sowie eine unvollständige Sachverhaltsfeststellung gerügt; diese Rügen sind vorab zu beurteilen, da sie gegebenenfalls geeignet sind, eine Kassation der vorinstanzlichen Verfügung zu bewirken. So rügt der Beschwerdefüh- rer, obgleich die Vorinstanz formell auf sein Asylgesuch eingetreten sei, habe sie dieses materiell gar nicht behandelt und sich lediglich mit seiner angeblich möglichen Niederlassung in der Türkei auseinandergesetzt.</w:t>
      </w:r>
    </w:p>
    <w:p>
      <w:r>
        <w:rPr>
          <w:b/>
        </w:rPr>
        <w:t>E. 3.2.1</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w:t>
      </w:r>
    </w:p>
    <w:p>
      <w:r>
        <w:t>D-1811/2022 Seite 5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(vgl. BGE 143 III 65 E. 5.2).</w:t>
      </w:r>
    </w:p>
    <w:p>
      <w:r>
        <w:rPr>
          <w:b/>
        </w:rPr>
        <w:t>E. 3.2.2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Sachverhaltsfeststellung ist unrichtig,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w:t>
      </w:r>
    </w:p>
    <w:p>
      <w:r>
        <w:rPr>
          <w:b/>
        </w:rPr>
        <w:t>E. 3.3</w:t>
      </w:r>
    </w:p>
    <w:p>
      <w:r>
        <w:t>Nach Durchsicht der Akten kommt das Gericht zum Schluss, dass die Vorinstanz einen materiellen Asylentscheid gefällt hat, ohne die Asylgründe des Beschwerdeführers sorgfältig und ernsthaft zu prüfen. Vielmehr liess sie seine Asylgründe in ihrer Entscheidfindung gänzlich unberücksichtigt. So setzte sie sich weder mit den geltend gemachten Fluchtgründen noch mit der aktuellen Lage im Heimatstaat auseinander und beschränkte ihre Argumentation in der angefochtenen Verfügung stattdessen auf die (an- gebliche) Möglichkeit des Beschwerdeführers, sich im Heimatstaat seiner unbestrittenermassen in der Schweiz wohnhaften Ehefrau niederzulassen. Demnach ist nicht ansatzweise nachvollziehbar, von welchen Überlegun- gen sich die Vorinstanz leiten liess und auf welche rechtlichen Grundlagen sie sich stützt. Ihre Ausführungen verunmöglichen somit klar eine sachge- rechte Anfechtung des Entscheides.</w:t>
      </w:r>
    </w:p>
    <w:p>
      <w:r>
        <w:rPr>
          <w:b/>
        </w:rPr>
        <w:t>E. 3.4</w:t>
      </w:r>
    </w:p>
    <w:p>
      <w:r>
        <w:t>Nach dem Gesagten steht fest, dass die Vorinstanz das rechtliche Ge- hör des Beschwerdeführers verletzt und den Sachverhalt unvollständig ab- geklärt hat. Die entsprechenden Rügen erweisen sich als begründet.</w:t>
      </w:r>
    </w:p>
    <w:p>
      <w:r>
        <w:rPr>
          <w:b/>
        </w:rPr>
        <w:t>E. 4.1</w:t>
      </w:r>
    </w:p>
    <w:p>
      <w:r>
        <w:t>Gemäss Art. 61 Abs. 1 VwVG entscheidet das Bundesverwaltungsge- richt in der Sache selbst oder weist diese ausnahmsweise mit verbindlichen</w:t>
      </w:r>
    </w:p>
    <w:p>
      <w:r>
        <w:t>D-1811/2022 Seite 6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4.2</w:t>
      </w:r>
    </w:p>
    <w:p>
      <w:r>
        <w:t>Vorliegend stellt insbesondere die gänzliche Nichtberücksichtigung der Asylgründe des Beschwerdeführers einen offensichtlichen und schwerwie- genden Mangel dar. Es liegt nicht am Bundesverwaltungsgericht, anstelle der Vorinstanz die notwendigen Schlüsse aus dem Sachverhalt zu ziehen, oder gar offensichtliche Versäumnisse des SEM auf Beschwerdeebene zu beheben und damit die Vorinstanz gleichsam von einer sorgfältigen Ver- fahrensführung zu entbinden, zumal dem Beschwerdeführer durch ein sol- ches Vorgehen eine Instanz verloren ginge. Es liegt eine schwere Verlet- zung der Begründungspflicht vor. Die Heilung dieser Gehörsverletzung auf Beschwerdeebene kommt nur schon deshalb nicht in Betracht, weil die Vorinstanz das Versäumte im Rahmen des Schriftenwechsels nicht nach- geholt hat (vgl. zum Ganzen BVGE 2009/53 E. 7.3).</w:t>
      </w:r>
    </w:p>
    <w:p>
      <w:r>
        <w:rPr>
          <w:b/>
        </w:rPr>
        <w:t>E. 5</w:t>
      </w:r>
    </w:p>
    <w:p>
      <w:r>
        <w:t>Nach dem Gesagten ist die Beschwerde insofern gutzuheissen, als die Auf- hebung der angefochtenen Verfügung und die Rückweisung an die Vor- instanz beantragt wird. Diese ist anzuweisen, sich mit den Asylgründen des Beschwerdeführers auseinanderzusetzen und allenfalls weitere Abklärun- gen vorzunehmen. Es erübrigt sich demnach, auf die weiteren mit der Be- schwerdeschrift geltend gemachten Rügen einzugehen.</w:t>
      </w:r>
    </w:p>
    <w:p>
      <w:r>
        <w:rPr>
          <w:b/>
        </w:rPr>
        <w:t>E. 6.1</w:t>
      </w:r>
    </w:p>
    <w:p>
      <w:r>
        <w:t>Bei diesem Ausgang des Verfahrens sind keine Verfahrenskosten zu erheben (vgl. Art. 63 Abs. 1 VwVG). Der am 8. Juni 2022 geleistete Kos- tenvorschuss ist dem Beschwerdeführer zurückzuerstatten.</w:t>
      </w:r>
    </w:p>
    <w:p>
      <w:r>
        <w:rPr>
          <w:b/>
        </w:rPr>
        <w:t>E. 6.2</w:t>
      </w:r>
    </w:p>
    <w:p>
      <w:r>
        <w:t>Dem vertretenen Beschwerdeführer ist angesichts seines Obsiegens in Anwendung von Art. 64 VwVG und Art. 7 Abs. 1 VGKE eine Entschädi- gung für die ihm notwendigerweise erwachsenen Parteikosten zuzuspre- chen.</w:t>
      </w:r>
    </w:p>
    <w:p>
      <w:r>
        <w:t>D-1811/2022 Seite 7 Seitens der Rechtsvertretung wurde keine Kostennote zu den Akten ge- reicht, weshalb die notwendigen Parteikosten aufgrund der Akten zu be- stimmen sind (Art. 14 Abs. 2 in fine VGKE). Gestützt auf die in Betracht zu ziehenden Bemessungsfaktoren (Art. 9–13 VGKE) ist dem Beschwerde- führer zulasten der Vorinstanz eine Parteientschädigung von insgesamt Fr. 1'500.– zuzusprechen. (Dispositiv nächste Seite)</w:t>
      </w:r>
    </w:p>
    <w:p>
      <w:r>
        <w:t>D-1811/2022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