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D-180/2025 vom 27. Dezember 2024</w:t>
      </w:r>
    </w:p>
    <w:p>
      <w:r>
        <w:t>Bundesverwaltungsgericht, 2024-12-27, DE</w:t>
      </w:r>
    </w:p>
    <w:p>
      <w:r>
        <w:rPr>
          <w:b/>
        </w:rPr>
        <w:t xml:space="preserve">Quelle: </w:t>
      </w:r>
      <w:r>
        <w:t>https://mcp.opencaselaw.ch/entscheid/bvger_D-180_2025_d20241227</w:t>
      </w:r>
    </w:p>
    <w:p>
      <w:r>
        <w:t>FR: TAF D-180/2025 du 27 décembre 2024</w:t>
      </w:r>
    </w:p>
    <w:p>
      <w:r>
        <w:t>IT: TAF D-180/2025 del 27 dicembre 2024</w:t>
      </w:r>
    </w:p>
    <w:p>
      <w:pPr>
        <w:pStyle w:val="Heading2"/>
      </w:pPr>
      <w:r>
        <w:t>Regeste</w:t>
      </w:r>
    </w:p>
    <w:p>
      <w:r>
        <w:t>Asyl und Wegweisung (beschleunigtes Verfahren) | Asyl und Wegweisung (beschleunigtes Verfahren); Verfügung des SEM vom 27. Dezember 2024</w:t>
      </w:r>
    </w:p>
    <w:p>
      <w:pPr>
        <w:pStyle w:val="Heading2"/>
      </w:pPr>
      <w:r>
        <w:t>Erwägungen</w:t>
      </w:r>
    </w:p>
    <w:p>
      <w:r>
        <w:rPr>
          <w:b/>
        </w:rPr>
        <w:t>E. 1.1</w:t>
      </w:r>
    </w:p>
    <w:p>
      <w:r>
        <w:t>Gemäss Art. 31 VGG beurteilt das Bundesverwaltungsgericht Be- schwerden gegen Verfügungen des SEM und ist daher zuständig für die Beurteilung der vorliegenden Beschwerde. Es entscheidet auf dem Gebiet des Asyls in der Regel – und so auch vorliegend – endgültig (Art. 83 Bst. d Ziff. 1 BGG; Art. 105 AsylG i.V.m. Art. 31-33 VGG).</w:t>
      </w:r>
    </w:p>
    <w:p>
      <w:r>
        <w:rPr>
          <w:b/>
        </w:rPr>
        <w:t>E. 1.2</w:t>
      </w:r>
    </w:p>
    <w:p>
      <w:r>
        <w:t>Der Beschwerdeführer hat am Verfahren vor der Vorinstanz teilgenom- men, ist durch die angefochtene Verfügung besonders berührt und hat ein</w:t>
      </w:r>
    </w:p>
    <w:p>
      <w:r>
        <w:t>D-180/2025 Seite 5 schutzwürdiges Interesse an deren Aufhebung beziehungsweise Ände- rung. Er ist zur Einreichung der Beschwerde legitimiert (Art. 105 AsylG i.V.m. Art. 37 VGG und Art. 48 Abs. 1 VwVG). Auf die frist- und formgerecht eingereichte Beschwerde (Art. 108 Abs. 1 AsylG; Art. 105 i.V.m. Art. 37 VGG und Art. 52 Abs. 1 VwVG)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entschieden (Art. 111 Bst. e AsylG). Wie nachfolgend aufgezeigt wird, handelt es sich vorliegend um eine solche, weshalb auf einen Schriftenwechsel zu verzich- 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Lebens, des Leibes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befürchten muss, welche ihr gezielt und aufgrund bestimmter Verfolgungsmotive durch Organe des Heimatstaates oder durch nichtstaat- liche Akteure zugefügt worden sind beziehungsweise zugefügt zu werden drohen (vgl. BVGE 2008/4 E. 5.2). Aufgrund der Subsidiarität des flücht- lingsrechtlichen Schutzes setzt die Anerkennung der Flüchtlingseigen- schaft ausserdem voraus, dass die betroffene Person in ihrem Heimatland keinen ausreichenden Schutz finden kann (vgl. BVGE 2011/51 E. 7, 2008/12 E. 7.2.6.2, 2008/4 E. 5.2).</w:t>
      </w:r>
    </w:p>
    <w:p>
      <w:r>
        <w:t>D-180/2025 Seite 6</w:t>
      </w:r>
    </w:p>
    <w:p>
      <w:r>
        <w:rPr>
          <w:b/>
        </w:rPr>
        <w:t>E. 4.1</w:t>
      </w:r>
    </w:p>
    <w:p>
      <w:r>
        <w:t>Das SEM führt zur Begründung seiner Verfügung im Wesentlichen aus, Verfolgung durch Dritte sei für die Gewährung von Asyl nur dann relevant, wenn der Herkunftsstaat keinen angemessenen Schutz gewähre. Gemäss dem in Art. 1A Ziff. 2 des Abkommens über die Rechtsstellung der Flücht- linge vom 28. Juli 1951 (Flüchtlingskonvention FK, SR 0.142.30) veranker- ten Grundsatz der Subsidiarität des internationalen Schutzes (in casu des- jenigen der Schweiz) gegenüber dem nationalen Schutz könne von einer asylsuchenden Person erwartet werden, dass sie in erster Linie den Schutz des Landes in Anspruch nehme, dessen Staatsangehörigkeit sie besitze. Der nationale Schutz gelte als angemessen, wenn die betroffene Person vor Ort konkreten Zugang zu wirksamen Schutzstrukturen habe und es ihr zuzumuten sei, dieses interne Schutzsystem in Anspruch zu nehmen. Bei der vom Beschwerdeführer geltend gemachten Verfolgung handle es sich um eine solche durch Drittpersonen, namentlich durch Mitglieder der Ülküçü-Gruppe. Übergriffe durch Dritte würden vom türkischen Staat we- der unterstützt noch gebilligt. Die Türkei verfüge über wirksame Polizei- und Justizorgane zur Ermittlung, Strafverfolgung und Ahndung von Verfol- gungshandlungen, und der Beschwerdeführer habe grundsätzlich Zugang zu diesem Schutz. Eine faktische Garantie des Schutzgewährers für lang- fristigen individuellen Schutz der bedrohten Person könne dabei nicht ver- langt werden. Keinem Staat gelinge es, die absolute Sicherheit aller seiner Bürger jederzeit und überall zu garantieren. Demnach sei in seinem Fall von der Schutzfähigkeit des türkischen Staates auszugehen. Diesbezüg- lich habe er angegeben, dass er nie zu den türkischen Behörden gegangen sei, da die Polizei Kurden nicht möge und bei Beschwerden aus seinem Umfeld keine Massnahmen erfolgt seien. Der Umstand alleine, dass er der Überzeugung sei, dass die Polizei ihm nicht helfe, weil er Kurde sei, reiche, trotz allgemein bekannten Diskriminierungen, nicht aus, um dem türki- schen Staat die Schutzfähigkeit und Schutzwilligkeit grundsätzlich abzu- sprechen. Ihm sei es offen gestanden, gemeinsam mit seinem Vater, bei verschiedenen Polizeibehörden und Instanzen eine Anzeige aufgrund der von ihm geltend gemachten Behelligungen seiner Angreifer zu erstatten. So seien dem Protokoll keine weiteren Hinweise zu entnehmen, welche im vorliegenden Fall gegen die Schutzwilligkeit der türkischen Behörden spre- che. In den Akten seien zudem auch keine Hinweise ersichtlich, weshalb er nicht in der Lage gewesen sei, den staatlichen Schutz in Anspruch zu nehmen. So habe er selber auch nie persönliche Probleme mit den türki- schen Behörden gehabt. Deswegen sei auch die Inanspruchnahme des staatlichen Schutzes seinerseits als zumutbar zu erachten. Demnach sei</w:t>
      </w:r>
    </w:p>
    <w:p>
      <w:r>
        <w:t>D-180/2025 Seite 7 im vorliegenden Fall von der Schutzfähigkeit und dem Schutzwillen des türkischen Staates auszugehen, weshalb er nicht auf den Schutz der Schweiz angewiesen sei. Im Übrigen stehe es ihm und seiner Familie aufgrund der Niederlassungs- freiheit in der Türkei auch frei, sich innerhalb der Türkei einen neuen Wohn- oder Aufenthaltsort zu suchen. Auf die Frage, weshalb er direkt ausgereist sei und keine innerstaatliche Aufenthaltsalternative gesucht habe, habe er geltend gemacht, dass die Mitglieder der Ülküçü-Gruppe ihn überall in der Türkei ausfindig machen würden. Zusätzlich habe er einerseits erklärt, dass seine Verwandten ihn nicht unterstützen würden, da sie keine Prob- leme haben möchten, und andererseits geltend gemacht, dass Freunde und Bekannte ebenfalls Schwierigkeiten in Städten wie Istanbul und An- kara haben würden. Jedoch sei aus den Akten nicht ersichtlich, dass seine Angreifer ihn ebenfalls ausserhalb seines Heimatortes behelligen würden. So handle es sich einerseits um zwei Angreifer aus seinem Nachbarsdorf, und andererseits habe er jeweils bei Begegnungen auf der Strasse Behel- ligungen erlitten, weswegen keine gezielte Verfolgung ersichtlich sei.</w:t>
      </w:r>
    </w:p>
    <w:p>
      <w:r>
        <w:rPr>
          <w:b/>
        </w:rPr>
        <w:t>E. 4.2</w:t>
      </w:r>
    </w:p>
    <w:p>
      <w:r>
        <w:t>In der Beschwerde wird geltend gemacht, das SEM habe die Schwere der vorgebrachten Diskriminierungen des Beschwerdeführers, seine psy- chische Belastung und die fehlende Schutzgewährung durch den türki- schen Staat nicht ausreichend gewürdigt. Als der Beschwerdeführer seinen negativen Asylentscheid erhalten habe, habe sich sein psychischer Zustand verschlechtert. Er sei minderjährig und stamme aus der Grenzregion zu L._______. Mit 12 Jahren habe er zu ar- beiten begonnen. Er habe nie seine Heimatregion verlassen. Wegen Schi- kanen und Diskriminierungen habe er die Schule verlassen müssen. Die einzigen Verwandten würden in seiner Heimatregion wohnen. Aber selbst diese würden ihm die Unterstützung verweigern. Er sei nicht zur Polizei gegangen, weil er gewusst habe, dass es nichts bringe. Seine Freunde hätten es bereits vergeblich versucht. Sein Vater sei an Krebs erkrankt. Der Beschwerdeführer habe offensichtlich keine Kenntnis über die Einzelheiten der Erkrankung. Sein älterer Bruder solle entweder in F._______ oder «in den Bergen» sein. Ein Kontakt bestehe offenbar nicht. Der Beschwerdeführer sei von der rechtsradikalen Gruppe Ülküçü verfolgt worden. Eine kriminelle, rechtsextremistische, faschistische Organisation, die auch in vielen europäischen Ländern (auch in der Schweiz) breit orga- nisiert sei. Die Organisation unterstütze den «Anti-Terrorkampf» der</w:t>
      </w:r>
    </w:p>
    <w:p>
      <w:r>
        <w:t>D-180/2025 Seite 8 türkischen Sicherheitsbehörden, der hauptsächlich gegen die kurdische Minderheit gerichtet sei. Die Mutterpartei der Grauen Wölfe, die MHP (Par- tei der Nationalistischen Bewegung) habe dem türkischen Präsidenten Erdogan zu Wahlsiegen verholfen – und habe grossen Einfluss. Aus die- sem Grund würden die Mitglieder der Organisation in der Türkei geschützt. Die kriminellen Taten der Mitglieder würden nicht verfolgt. Für einen jungen Mann ohne Unterstützung sei die Lage in der Türkei zunehmend gefährli- cher. Der Beschwerdeführer habe erzählt, dass viele seiner kurdischen Freunde umgebracht worden seien. Wie und warum es passiert sei, bleibe unklar, weil die befragende Person nicht nachgefragt habe und im Asylent- scheid keine diesbezügliche Stellungnahme der Vorinstanz zu finden sei. Die Ermordung «vieler kurdischen Freunde» begründe eindeutig die Be- fürchtungen des Beschwerdeführers. Nach den Ereignissen in der benachbarten Region Syrien habe sich die ohnehin miserable Lage der Kurden weiter verschlechtert. Seit dem Sturz des ehemaligen syrischen Staatschefs Baschar al-Assad im Dezember 2024, verschärfe sich die Verfolgung der Kurden auf beiden Seiten der Grenze. Die Türkei nutze diese Entwicklung, um die kurdische Freiheitsbe- wegung dauerhaft zu ersticken. Entsprechende Massnahmen würden auf beiden Seiten der Grenze unternommen. Wie die Türkei gegen die Kurden in Syrien vorgehe sei bekannt. Ein solches Regime werde einen jungen Kurden vor der Verfolgung durch türkische Nationalisten keinesfalls be- schützen. Für den Beschwerdeführer bestehe folglich eine landesweite in- dividuelle Verfolgungsgefahr.</w:t>
      </w:r>
    </w:p>
    <w:p>
      <w:r>
        <w:rPr>
          <w:b/>
        </w:rPr>
        <w:t>E. 5.1</w:t>
      </w:r>
    </w:p>
    <w:p>
      <w:r>
        <w:t>Nach Prüfung der Akten gelangt das Bundesverwaltungsgericht zum Schluss, dass die Vorinstanz in ihren Erwägungen zutreffend und mit über- zeugender Begründung zum Ergebnis gelangt ist, dass die Vorbringen des Beschwerdeführers den Anforderungen an die Flüchtlingseigenschaft ge- mäss Art. 3 AsylG nicht standhalten.</w:t>
      </w:r>
    </w:p>
    <w:p>
      <w:r>
        <w:rPr>
          <w:b/>
        </w:rPr>
        <w:t>E. 5.2</w:t>
      </w:r>
    </w:p>
    <w:p>
      <w:r>
        <w:t>Das Bundesverwaltungsgericht geht in ständiger Rechtsprechung da- von aus, dass die türkischen Behörden willens und in der Lage sind, Schutz vor Verfolgung durch Dritte zu gewähren und eine funktionierende Schutz- infrastruktur zur Verfügung zu stellen (vgl. statt vieler Urteile des BVGer D-2318/2024 vom 15. Mai 2024 E. 6.3 und D-6861/2023 vom 25. April 2024 E. 7.3, je m.w.H.). Hinsichtlich der geltend gemachten Diskriminierun- gen in der Schulzeit des Beschwerdeführers ist festzuhalten, dass die Be- drohungen und Schikanierungen durch die Gruppe Ülküçü nicht eine</w:t>
      </w:r>
    </w:p>
    <w:p>
      <w:r>
        <w:t>D-180/2025 Seite 9 Intensität aufweisen, um als ernsthafte Nachteile im Sinne von Art. 3 Abs. 2 AsylG eingestuft zu werden. Der Beschwerdeführer hätte zudem die Mög- lichkeit gehabt, sich gegebenenfalls an die Polizei zu wenden und diese um Schutz vor Nachstellungen und Drohungen durch Mitglieder der «Grauen Wölfe» zu ersuchen. Zu Recht weist das SEM in diesem Zusam- menhang darauf hin, dass es ihm zuzumuten gewesen wäre, sich an die Polizei zu wenden.</w:t>
      </w:r>
    </w:p>
    <w:p>
      <w:r>
        <w:rPr>
          <w:b/>
        </w:rPr>
        <w:t>E. 5.3</w:t>
      </w:r>
    </w:p>
    <w:p>
      <w:r>
        <w:t>Mit dem SEM ist zudem davon auszugehen, dass sich der Beschwer- deführer den angeblichen Drohungen oder Übergriffen von dieser Gruppie- rung entziehen kann, indem er Wohnsitz in einer anderen Stadt der Türkei nimmt. Das Bestehen einer solchen innerstaatlichen Schutzalternative ist nicht schon deshalb zu verneinen, weil die asylsuchende Person aufgrund der Verhältnisse am Zufluchtsort auf wirtschaftliche Schwierigkeiten stösst, von welchen die vor Ort ansässige Bevölkerung generell betroffen ist, wie beispielsweise Wohnungsnot oder ein schwieriger Arbeitsmarkt, und des- halb Einbussen in der Lebensqualität oder in den persönlichen Entfaltungs- möglichkeiten in Kauf nehmen muss (vgl. BVGE 2011/51 E. 8.5.3). Der diesbezüglich nicht weiter belegte Einwand in der Beschwerde, es drohe ihm eine landesweite individuelle Verfolgungsgefahr überzeugt nicht. Beim Beschwerdeführer handelt es sich um einen gesunden jungen Mann, wel- cher neun Jahre die Schule besucht und anschliessend vier bis fünf Jahre Erfahrungen im Bäckerberuf gesammelt hat (vgl. SEM-act. […]-21/9 F3 und F9 f.). Es ist ihm deshalb durchaus zuzumuten, sich in der Türkei an einem Ort ausserhalb seiner Herkunftsregion (H._______) eine wirtschaft- liche Existenz aufzubauen.</w:t>
      </w:r>
    </w:p>
    <w:p>
      <w:r>
        <w:rPr>
          <w:b/>
        </w:rPr>
        <w:t>E. 5.4</w:t>
      </w:r>
    </w:p>
    <w:p>
      <w:r>
        <w:t>Zur Vermeidung von Wiederholungen kann im Übrigen auf die zutref- fenden Erwägungen in der angefochtenen Verfügung (vgl. Ziff. II) und die obige Zusammenfassung derselben (vgl. E. 4.1 hiervor) verwiesen wer- den. In der Beschwerde werden keine substanziellen Argumente vorge- bracht, die geeignet wären, um hinsichtlich der Flüchtlingseigenschaft zu einer von derjenigen der Vorinstanz abweichenden Einschätzung zu gelan- gen. Ergänzend festzuhalten bleibt, dass die Vorinstanz den rechtserheb- lichen Sachverhalt vollständig und richtig festgestellt und die Vorbringen des Beschwerdeführers gewürdigt und beurteilt hat. Der eventualiter ge- stellte – gänzlich unbegründet gebliebene – Antrag, die Sache sei an die Vorinstanz zur Neubeurteilung zurückzuweisen, ist abzuweisen.</w:t>
      </w:r>
    </w:p>
    <w:p>
      <w:r>
        <w:t>D-180/2025 Seite 10</w:t>
      </w:r>
    </w:p>
    <w:p>
      <w:r>
        <w:rPr>
          <w:b/>
        </w:rPr>
        <w:t>E. 5.5</w:t>
      </w:r>
    </w:p>
    <w:p>
      <w:r>
        <w:t>Zusammenfassend ergibt sich, dass die Vorinstanz die Flüchtlingsei- genschaft des Beschwerdeführers mit zutreffender Begründung verneint und sein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7.1</w:t>
      </w:r>
    </w:p>
    <w:p>
      <w:r>
        <w:t>Das SEM führt schliesslich ausführlich und zutreffend aus, weshalb der Wegweisungsvollzug vorliegend zulässig, zumutbar und möglich sei. Es berücksichtigte dabei insbesondere auch Art. 3 des Übereinkommens über die Rechte des Kindes vom 20. November 1989 (Kinderrechtskonvention [KRK], SR 0.107) sowie Art. 69 Abs. 4 AIG (SR 142.20). So gab der Be- schwerdeführer anlässlich der Erstbefragung für UMA und der Anhörung an, er habe ein gutes Verhältnis zu seiner Familie (vgl. SEM-act. […]-21/9 F6). Hier in der Schweiz habe er einen Bekannten seines Vaters, den er als «Onkel» bezeichne. Dieser rufe ihn täglich an (vgl. SEM-act. […]-17/10 Rz. 3.02). Die schweizerischen Behörden werden vor dem Vollzug der Wegweisung – allenfalls unter Einbezug des genannten «Onkels» – sicher- stellen, dass der Beschwerdeführer kindsgerecht in die Türkei zurückge- führt und nach seiner Rückkehr in die Obhut seiner Angehörigen gelangt (vgl. BVGE 2021 VI/3 E. 11.5.2 m.w.H. und angefochtene Verfügung, Ziff. IV). In der Beschwerde wird nichts vorgebracht, was diesbezüglich zu einer von derjenigen der Vorinstanz abweichenden Beurteilung führen könnte.</w:t>
      </w:r>
    </w:p>
    <w:p>
      <w:r>
        <w:rPr>
          <w:b/>
        </w:rPr>
        <w:t>E. 7.2</w:t>
      </w:r>
    </w:p>
    <w:p>
      <w:r>
        <w:t>Zusammenfassend ergibt sich, dass die Vorinstanz den Wegweisungs- vollzug zu Recht als zulässig, zumutbar und möglich bezeichnet hat. Eine Anordnung der vorläufigen Aufnahme fällt somit ausser Betracht (Art. 83 Abs. 1–4 AIG).</w:t>
      </w:r>
    </w:p>
    <w:p>
      <w:r>
        <w:rPr>
          <w:b/>
        </w:rPr>
        <w:t>E. 8</w:t>
      </w:r>
    </w:p>
    <w:p>
      <w:r>
        <w:t>Aus diesen Erwägungen ergibt sich, dass die angefochtene Verfügung im</w:t>
      </w:r>
    </w:p>
    <w:p>
      <w:r>
        <w:t>D-180/2025 Seite 11 Lichte von Art. 106 Abs. 1 AsylG und Art. 49 VwVG nicht zu beanstanden ist. Die Beschwerde ist abzuweisen.</w:t>
      </w:r>
    </w:p>
    <w:p>
      <w:r>
        <w:rPr>
          <w:b/>
        </w:rPr>
        <w:t>E. 9.1</w:t>
      </w:r>
    </w:p>
    <w:p>
      <w:r>
        <w:t>Das Gesuch um Gewährung der unentgeltlichen Rechtspflege ist – un- geachtet der mutmasslichen Bedürftigkeit des Beschwerdeführers – abzu- weisen, da die Begehren – wie sich aus den vorstehenden Erwägungen ergibt – in materieller Hinsicht als aussichtslos zu bezeichnen sind (Art. 65 Abs. 1 VwVG).</w:t>
      </w:r>
    </w:p>
    <w:p>
      <w:r>
        <w:rPr>
          <w:b/>
        </w:rPr>
        <w:t>E. 9.2</w:t>
      </w:r>
    </w:p>
    <w:p>
      <w:r>
        <w:t>Die dem Beschwerdeführer aufgrund des Ausgangs des Verfahrens aufzuerlegenden Kosten desselben (Art. 63 Abs. 1 VwVG) sind ihm auf- grund seiner Minderjährigkeit zu erlassen (Art. 6 Bst. b des Reglements vom 21. Februar 2008 über die Kosten und Entschädigungen vor dem Bun- desverwaltungsgericht [VGKE, SR 173.320.2]). (Dispositiv nächste Seite)</w:t>
      </w:r>
    </w:p>
    <w:p>
      <w:r>
        <w:t>D-180/2025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