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D-1805/2023 vom 15. März 2023</w:t>
      </w:r>
    </w:p>
    <w:p>
      <w:r>
        <w:t>Bundesverwaltungsgericht, 2023-03-15, DE</w:t>
      </w:r>
    </w:p>
    <w:p>
      <w:r>
        <w:rPr>
          <w:b/>
        </w:rPr>
        <w:t xml:space="preserve">Quelle: </w:t>
      </w:r>
      <w:r>
        <w:t>https://mcp.opencaselaw.ch/entscheid/bvger_D-1805_2023_d20230315</w:t>
      </w:r>
    </w:p>
    <w:p>
      <w:r>
        <w:t>FR: TAF D-1805/2023 du 15 mars 2023</w:t>
      </w:r>
    </w:p>
    <w:p>
      <w:r>
        <w:t>IT: TAF D-1805/2023 del 15 marzo 2023</w:t>
      </w:r>
    </w:p>
    <w:p>
      <w:pPr>
        <w:pStyle w:val="Heading2"/>
      </w:pPr>
      <w:r>
        <w:t>Regeste</w:t>
      </w:r>
    </w:p>
    <w:p>
      <w:r>
        <w:t>Nichteintreten auf Asylgesuch und Wegweisung (Mehrfachgesuch) | Nichteintreten auf Asylgesuch und Wegweisung (Mehrfachgesuch); Verfügung des SEM vom 15.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1.3</w:t>
      </w:r>
    </w:p>
    <w:p>
      <w:r>
        <w:t>Aus nachstehenden Erwägungen ergibt sich, dass das vorliegende Verfahren spruchreif ist und kein anderer Grund für eine Sistierung besteht. Der entsprechende Antrag ist abzuweisen.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D-1805/2023 Seite 5 nachstehend aufgezeigt, handelt es sich um eine solche, weshalb das Ur- teil nur summarisch zu begründen ist (Art. 111a Abs. 2 AsylG). Gestützt auf Art. 111a Abs. 1 AsylG wurde auf einen Schriftenwechsel ver- zichtet.</w:t>
      </w:r>
    </w:p>
    <w:p>
      <w:r>
        <w:rPr>
          <w:b/>
        </w:rPr>
        <w:t>E. 4.1</w:t>
      </w:r>
    </w:p>
    <w:p>
      <w:r>
        <w:t>Mit Zwischenverfügung vom 4. April 2023 wurde der Spruchkörper ein- schliesslich der Gerichtsschreiberin bekannt gegeben.</w:t>
      </w:r>
    </w:p>
    <w:p>
      <w:r>
        <w:rPr>
          <w:b/>
        </w:rPr>
        <w:t>E. 4.2</w:t>
      </w:r>
    </w:p>
    <w:p>
      <w:r>
        <w:t>Hinsichtlich der Bildung des Spruchkörpers kann dem Beschwerdefüh- rer mitgeteilt werden, dass diese mit Hilfe eines EDV-basierten Zuteilungs- systems erfolgte und keine manuellen Ergänzungen notwendig waren.</w:t>
      </w:r>
    </w:p>
    <w:p>
      <w:r>
        <w:rPr>
          <w:b/>
        </w:rPr>
        <w:t>E. 4.3</w:t>
      </w:r>
    </w:p>
    <w:p>
      <w:r>
        <w:t>Die Dokumente betreffend die Spruchkörperbildung unterstehen nicht der Akteneinsicht (vgl. BVGE 2022 I/2 E. 4.5.4). Der entsprechende Antrag auf Einsicht in die Datei der Software ist abzuweisen.</w:t>
      </w:r>
    </w:p>
    <w:p>
      <w:r>
        <w:rPr>
          <w:b/>
        </w:rPr>
        <w:t>E. 4.4</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BVGE 2022 I/2 E. 4.4).</w:t>
      </w:r>
    </w:p>
    <w:p>
      <w:r>
        <w:rPr>
          <w:b/>
        </w:rPr>
        <w:t>E. 5</w:t>
      </w:r>
    </w:p>
    <w:p>
      <w:r>
        <w:t>Prüfungsgegenstand ist im vorliegenden Verfahren die Frage, ob die Vorinstanz gemäss Art. 111c Abs. 1 Satz 1 AsylG zu Recht auf das neue Asylgesuch des Beschwerdeführers nicht eingetreten ist. Die Beschwer- deinstanz enthält sich – sofern sie den Nichteintretensentscheid als un- rechtmässig erachtet – einer selbständigen materiellen Prüfung; sie hebt die angefochtene Verfügung auf und weist die Sache zu neuer Entschei- dung an die Vorinstanz zurück (vgl. BVGE 2007/8 E. 2.1 m.w.H.). Die Frage der Wegweisung und des Vollzugs der Wegweisung ist jedoch materiell zu prüfen.</w:t>
      </w:r>
    </w:p>
    <w:p>
      <w:r>
        <w:rPr>
          <w:b/>
        </w:rPr>
        <w:t>E. 5.1</w:t>
      </w:r>
    </w:p>
    <w:p>
      <w:r>
        <w:t>In der Beschwerde werden formelle Rügen erhoben. Diese sind vorab zu beurteilen, da sie gegebenenfalls geeignet sind, eine Kassation der vorinstanzlichen Verfügung zu bewirken.</w:t>
      </w:r>
    </w:p>
    <w:p>
      <w:r>
        <w:rPr>
          <w:b/>
        </w:rPr>
        <w:t>E. 5.2</w:t>
      </w:r>
    </w:p>
    <w:p>
      <w:r>
        <w:t>In der Beschwerdeschrift wird ausgeführt, die Vorinstanz habe die neuen Beweismittel materiell gewürdigt, weshalb das Nichteintreten die fal- sche Rechtsfolge sei, dabei aber den Sachverhalt nicht vollständig</w:t>
      </w:r>
    </w:p>
    <w:p>
      <w:r>
        <w:t>D-1805/2023 Seite 6 abgeklärt und die Begründungspflicht verletzt (falsche Rechtsanwendung, unvollständige Sachverhaltsfeststellung: Nichtberücksichtigung von Be- weismitteln, keine Zeugenbefragung).</w:t>
      </w:r>
    </w:p>
    <w:p>
      <w:r>
        <w:rPr>
          <w:b/>
        </w:rPr>
        <w:t>E. 5.2.1</w:t>
      </w:r>
    </w:p>
    <w:p>
      <w:r>
        <w:t>Die Vorinstanz qualifizierte die Vorbringen des Beschwerdeführers und seine neu eingereichten Beweismittel in Anwendung der massgeben- den Gesetzesbestimmungen über ausserordentliche Rechtsmittel und Mehrfachgesuche (vgl. Art. 111b und 111c AsylG, Art. 66 VwVG, Art. 45 VGG i.V.m. Art. 121 BGG, Art. 45 VGG i.V.m. Art. 121 ff. BGG) zu Recht als Mehrfachgesuch. Erhöhte Formanforderungen sind im Rahmen von ausserordentlichen Rechtmitteln zulässig respektive vom Gesetzgeber ausdrücklich gewollt (vgl. BVGE 2014/39 E. 4.5). Es liegt somit eine in jeder Hinsicht korrekte Rechtsanwendung vor.</w:t>
      </w:r>
    </w:p>
    <w:p>
      <w:r>
        <w:rPr>
          <w:b/>
        </w:rPr>
        <w:t>E. 5.2.2</w:t>
      </w:r>
    </w:p>
    <w:p>
      <w:r>
        <w:t>Wie sich aus nachstehenden Erwägungen ergibt (vgl. insbesondere E. 7), hat die Vorinstanz in ihrer Verfügung den sich aufgrund der Eingabe vom 26. Januar 2023 ergebenden Sachverhalt vollständig und richtig fest- gestellt, und sie hat darin – entgegen der Beschwerde ohne materielle Be- handlung – hinreichend dargelegt, wieso sie das Mehrfachgesuch für un- zureichend begründet, und alsdann den Wegweisungsvollzug (materiell) für zulässig, zumutbar und möglich erachtet. Der blosse Umstand, dass der Beschwerdeführer die Auffassung der Vo- rinstanz nicht teilt, stellt keine Verletzung der Begründungspflicht dar, son- dern ist eine materielle Frage. Dies gilt ebenso für die Ausführungen in der Beschwerde hinsichtlich der behaupteten fehlenden Sachverhaltsfeststel- lung, gemäss denen das SEM die eingereichten Beweismittel unberück- sichtigt gelassen habe. Sie richten sich gegen die entsprechende Beweis- würdigung und die rechtliche Würdigung der Vorbringen. Die Vorinstanz hat ausreichend dargelegt, weshalb die eingereichten Dokumente für eine genügende Begründung des Mehrfachgesuches nicht ausreichen. In An- betracht der Ausgangslage erübrigten sich auch allfällige weitere Abklärun- gen, wie Zeugenbefragungen. Zudem spricht nicht alleine der Umstand, dass die Vorinstanz in ihrer Länderpraxis zu Sri Lanka einer anderen Linie folgt, als vom Beschwerdeführer vertreten, und sie aus sachlichen Grün- den auch zu einer anderen Würdigung der Vorbringen gelangt, als vom Beschwerdeführer verlangt, für eine ungenügende Sachverhaltsfeststel- lung.</w:t>
      </w:r>
    </w:p>
    <w:p>
      <w:r>
        <w:t>D-1805/2023 Seite 7</w:t>
      </w:r>
    </w:p>
    <w:p>
      <w:r>
        <w:rPr>
          <w:b/>
        </w:rPr>
        <w:t>E. 5.2.3</w:t>
      </w:r>
    </w:p>
    <w:p>
      <w:r>
        <w:t>Schliesslich zeigt die umfassende Beschwerdeeingabe auf, dass eine sachgerechte Anfechtung des Entscheids der Vorinstanz ohne weite- res möglich war.</w:t>
      </w:r>
    </w:p>
    <w:p>
      <w:r>
        <w:rPr>
          <w:b/>
        </w:rPr>
        <w:t>E. 5.2.4</w:t>
      </w:r>
    </w:p>
    <w:p>
      <w:r>
        <w:t>Vorliegend liegt weder eine Verletzung der Begründungspflicht (vgl. dazu BVGE 2016/9 E. 5.1) noch eine unrichtige oder unvollständige Sach- verhaltsfeststellung (vgl. dazu BVGE 2016/2 E. 4.3) vor.</w:t>
      </w:r>
    </w:p>
    <w:p>
      <w:r>
        <w:rPr>
          <w:b/>
        </w:rPr>
        <w:t>E. 5.3</w:t>
      </w:r>
    </w:p>
    <w:p>
      <w:r>
        <w:t>Die formellen Rügen erweisen sich aufgrund dieser Sachlage als un- begründet, weshalb keine Veranlassung besteht, die angefochtene Verfü- gung aus formellen Gründen aufzuheben und die Sache an die Vorinstanz zurückzuweisen. Das diesbezügliche (Haupt-) Rechtsbegehren ist somit abzuweisen.</w:t>
      </w:r>
    </w:p>
    <w:p>
      <w:r>
        <w:rPr>
          <w:b/>
        </w:rPr>
        <w:t>E. 6.1</w:t>
      </w:r>
    </w:p>
    <w:p>
      <w:r>
        <w:t>In der angefochtenen Verfügung hielt das SEM fest, dass es sich bei den eingereichten Schreiben von diversen Privatpersonen um Gefällig- keitsschreiben ohne jeglichen Beweiswert handle. Sie seien nicht geeignet, an den Feststellungen im Urteil D-2224/2020 des BVGer vom 22. Februar 2022 etwas zu ändern, und es sei auch nicht zu erkennen, dass sich die Umstände im Fall des Beschwerdeführers seit dessen Erlass in einer Art und Weise geändert hätten, dass von ernsthaften Nachteilen bei einer Rückkehr ausgegangen werden müsste. Im Weiteren stehe der von ihm beigezogene Fall (eines Sri-Lanka-Rückkehrers) in keinem Zusammen- hang mit seinem Verfahren. Damit seien die Vorbringen nicht genügend begründet und das SEM trete nicht darauf ein.</w:t>
      </w:r>
    </w:p>
    <w:p>
      <w:r>
        <w:rPr>
          <w:b/>
        </w:rPr>
        <w:t>E. 6.2</w:t>
      </w:r>
    </w:p>
    <w:p>
      <w:r>
        <w:t>In der Beschwerde wird demgegenüber im Wesentlichen ausgeführt, die eingereichten schriftlichen Auskünfte seien für eine Änderung der Fest- stellungen im BVGer Urteil D-2224/2020 geeignet, weil es sich bei diesen Personen um frühere LTTE Mitglieder handle, welche aus eigener Wahr- nehmung belegen könnten, dass der Beschwerdeführer in die Aktivitäten der LTTE in erheblichen Masse involviert gewesen sei. So habe das Bun- desverwaltungsgericht die Rolle des Beschwerdeführers als Dolmetscher bei der LTTE nicht bezweifelt, sondern nur seine Tätigkeit als nicht genü- gend verfolgungsrelevant erachtet. Das Risikoprofil des Beschwerdefüh- rers sei neu zu beurteilen.</w:t>
      </w:r>
    </w:p>
    <w:p>
      <w:r>
        <w:rPr>
          <w:b/>
        </w:rPr>
        <w:t>E. 7</w:t>
      </w:r>
    </w:p>
    <w:p>
      <w:r>
        <w:t>D-1805/2023 Seite 8</w:t>
      </w:r>
    </w:p>
    <w:p>
      <w:r>
        <w:rPr>
          <w:b/>
        </w:rPr>
        <w:t>E. 7.1</w:t>
      </w:r>
    </w:p>
    <w:p>
      <w:r>
        <w:t>Der Beschwerdeführer bringt hauptsächlich vor, die neu vorgelegten Schreiben würden bestätigen, dass er bis 2009 als Singhalesisch-Überset- zer in übergeordneter Rolle tätig gewesen sei (Beschwerde, S. 8), indem er in der Ratha Brigade unter Ratnam Master, welcher als Übersetzer für den LTTE Führer tätig gewesen sei, gedient habe. Er habe damit als Dol- metscher direkt unter dem Übersetzer für den Anführer gearbeitet. Das Bundesverwaltungsgericht habe zwar im Urteil D-2224/2020 nicht in Frage gestellt hat, dass er als Dolmetscher tätig gewesen sei, jedoch die überra- gende Bedeutung seiner Rolle als Übersetzer für die LTTE nicht in die Ent- scheidfindung miteinbezogen (Beschwerde, S. 8). Das Gericht teilt die Auf- fassung der Vorinstanz, dass es sich angesichts vorliegender Ausgangs- lage bei den vier Schreiben von Landsleuten um blosse Gefälligkeitsschrei- ben handelt. Dies gilt umso mehr, als der Beschwerdeführer weder in der BzP (Befragung zur Person vom 5. März 2018; Asylakten SEM A13 Pt. 1.17.05) noch in der Anhörung vom 13. September 2019 (Asylakten SEM F50, 61 f., 68, 86, 94, 109, 121 f.) trotz mehrfacher Nachfrage nach dem Grund des angeblichen Interesses der srilankischen Behörden auch nicht ansatzweise eine besondere Funktion beziehungsweise Nähe zur LTTE Führung darlegte. Solches geht im Übrigen auch nicht ohne Weiteres aus dem Inhalt der Schreiben hervor. Die eingereichten Beweismittel wei- sen keine Anhaltspunkte auf, die bei der vorliegenden Ausgangslage auf eine veränderte Situation beziehungsweise auf eine genügende Begrün- dung des Mehrfachgesuches schliessen liessen. Im Weiteren ist die Ein- schätzung der Vorinstanz hinsichtlich der weiteren Beweismittel in den Vorakten ebenso zu teilen (keine veränderte Situation beziehungsweise kein Zusammenhang; Zeitungsartikel vom 11. Oktober 2022 und BVGer Urteil E-6427/2017 vom 29. Juli 2019). Insgesamt vermochte der Be- schwerdeführer keine genügende Begründung für ein Mehrfachgesuch darzulegen.</w:t>
      </w:r>
    </w:p>
    <w:p>
      <w:r>
        <w:rPr>
          <w:b/>
        </w:rPr>
        <w:t>E. 7.2</w:t>
      </w:r>
    </w:p>
    <w:p>
      <w:r>
        <w:t>Demnach hat die Vorinstanz in zutreffender Weise das Erfordernis ei- 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8.1</w:t>
      </w:r>
    </w:p>
    <w:p>
      <w:r>
        <w:t>Lehnt das SEM das Asylgesuch ab oder tritt es darauf nicht ein, so verfügt es in der Regel die Wegweisung aus der Schweiz und ordnet den Vollzug</w:t>
      </w:r>
    </w:p>
    <w:p>
      <w:r>
        <w:t>D-1805/2023 Seite 9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10.1</w:t>
      </w:r>
    </w:p>
    <w:p>
      <w:r>
        <w:t>Da der Beschwerdeführer die Flüchtlingseigenschaft nicht erfüllt, ist das flüchtlingsrechtliche Rückschiebungsverbot von Art. 33 Abs. 1 des Ab- kommens vom 28. Juli 1951 über die Rechtsstellung der Flüchtlinge (FK, SR 0.142.30) und Art. 5 AsylG auf ihn nicht anwendbar. Die Zulässigkeit des Vollzugs beurteilt sich vielmehr nach den allgemeinen verfassungs-</w:t>
      </w:r>
    </w:p>
    <w:p>
      <w:r>
        <w:t>D-1805/2023 Seite 10 und völkerrechtlichen Bestimmungen (Art. 25 Abs. 3 BV; Art. 3 des Über- einkommens vom 10. Dezember 1984 gegen Folter und andere grausame, unmenschliche oder erniedrigende Behandlung oder Strafe [FoK, SR 0.105]; Art. 3 EMRK).</w:t>
      </w:r>
    </w:p>
    <w:p>
      <w:r>
        <w:t>Die Vorinstanz hielt zutreffend fest, dass die allgemeine Menschenrechts- situation in Sri Lanka den Wegweisungsvollzug – auch mit Blick auf die in der Beschwerde zitierten Berichte – nicht als unzulässig erscheinen lässt. Auch der Europäische Gerichtshof für Menschenrechte (EGMR) hat wie- derholt festgestellt, dass nicht generell davon auszugehen sei, Rückkeh- rern drohe in Sri Lanka eine unmenschliche Behandlung. Eine Risikoein- schätzung müsse im Einzelfall vorgenommen werden (Urteil des EGMR R.J. gegen Frankreich vom 19. September 2013, 10466/11, Ziff. 37). An dieser Einschätzung vermögen die politischen Entwicklungen insbeson- dere im Umfeld der Kommunalwahlen vom Februar 2018 (vgl. Urteil des BVGer D-5880/2018 vom 12. Februar 2019 E. 11.2.2), die Ende 2019 er- folgten Präsidentschaftswahlen sowie die Parlamentswahlen vom August 2020 nichts Grundlegendes zu ändern. Dasselbe gilt für die Ereignisse im Zusammenhang mit Rücktritten von Regierungsmitgliedern (einschliesslich des Präsidenten und des Premierministers; vgl. BVGer Urteil E-1473/2020 vom 9. August 2022 E.11.2).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 Gefahr hindeutet, zukünftig staatlichen Verfolgungsmassnahmen ausge- setzt zu sein. Es sind entgegen der Behauptung in der Beschwerde keine Anhaltspunkte ersichtlich, nach denen der Beschwerdeführer Massnah- men zu befürchten hätte, die – wenn überhaupt – über einen sogenannten background check (Befragung und Überprüfung von Tätigkeiten im In- und Ausland) hinausgingen, oder dass ihm persönlich im Falle einer Rückkehr eine Gefährdung drohen würde.</w:t>
      </w:r>
    </w:p>
    <w:p>
      <w:r>
        <w:rPr>
          <w:b/>
        </w:rPr>
        <w:t>E. 10.2</w:t>
      </w:r>
    </w:p>
    <w:p>
      <w:r>
        <w:t>Mit BVGer Urteil D-2224/2020 vom 22. Februar 2022 wurde der Voll- zug der Wegweisung letztmals für zumutbar befunden. An dieser Einschät- zung vermögen die aktuellen Ereignisse in Sri Lanka nichts zu ändern. An- dere Gründe, welche gegen die Zumutbarkeit sprechen würden, wurden weder substanziiert geltend gemacht noch sind sie aus den Akten ersicht- lich.</w:t>
      </w:r>
    </w:p>
    <w:p>
      <w:r>
        <w:t>D-1805/2023 Seite 11</w:t>
      </w:r>
    </w:p>
    <w:p>
      <w:r>
        <w:rPr>
          <w:b/>
        </w:rPr>
        <w:t>E. 10.3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Entscheid werden die Gesuche vom 19. April 2023, es sei wiedererwägungsweise auf den mit Zwischenverfügung vom 4. April 2023 erhobenen Kostenvorschuss zu verzichten beziehungsweise die Höhe dessen zu reduzieren und/oder eine Nachfrist zur Bezahlung an- zusetzen, gegenstandslos.</w:t>
      </w:r>
    </w:p>
    <w:p>
      <w:r>
        <w:rPr>
          <w:b/>
        </w:rPr>
        <w:t>E. 12.2</w:t>
      </w:r>
    </w:p>
    <w:p>
      <w:r>
        <w:t>Aufgrund der der Aussichtslosigkeit der Rechtsbegehren ist das Ge- such um Gewährung der unentgeltlichen Prozessführung nach Art. 65 Abs. 1 VwVG – unabhängig von einer Fürsorgeabhängigkeit – abzuweisen. Bei diesem Ausgang des Verfahrens sind die Kosten im Umfang von Fr. 1500.– dem Beschwerdeführer aufzuerlegen (Art. 37 VGG i.V.m. Art. 63 Abs. 1 VwVG; Art. 1–3 des Reglements vom 21. Februar 2008 über die Kosten und Entschädigungen vor dem Bundesverwaltungsgericht [VGKE, SR 173.320.2]).</w:t>
      </w:r>
    </w:p>
    <w:p>
      <w:r>
        <w:t>(Dispositiv nächste Seite)</w:t>
      </w:r>
    </w:p>
    <w:p>
      <w:r>
        <w:t>D-1805/2023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